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«Архитектура»</w:t>
      </w:r>
    </w:p>
    <w:p>
      <w:pPr>
        <w:pStyle w:val="para1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para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</w:p>
    <w:p>
      <w:pPr>
        <w:pStyle w:val="para85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</w:r>
    </w:p>
    <w:p>
      <w:pPr>
        <w:pStyle w:val="para49"/>
        <w:spacing/>
        <w:jc w:val="left"/>
        <w:rPr>
          <w:color w:val="ff0000"/>
        </w:rPr>
      </w:pPr>
      <w:r>
        <w:rPr>
          <w:color w:val="ff0000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/>
      <w:bookmarkStart w:id="0" w:name="_Hlk11921257"/>
      <w:bookmarkEnd w:id="0"/>
      <w:r/>
      <w:r>
        <w:rPr>
          <w:b/>
          <w:bCs/>
          <w:caps/>
          <w:color w:val="000000"/>
          <w:sz w:val="36"/>
          <w:szCs w:val="36"/>
        </w:rPr>
        <w:t>Документация по внесению изменений</w:t>
      </w: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в документацию по планировке и межеванию территории в границах улиц Вагнера, Кутумной, С.Перовской в Кировском районе г.Астрахани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000000"/>
          <w:sz w:val="36"/>
          <w:szCs w:val="36"/>
        </w:rPr>
      </w:pPr>
      <w:r/>
      <w:bookmarkStart w:id="1" w:name="_Hlk14339529"/>
      <w:bookmarkEnd w:id="1"/>
      <w:r/>
      <w:r>
        <w:rPr>
          <w:b/>
          <w:caps/>
          <w:color w:val="000000"/>
          <w:sz w:val="36"/>
          <w:szCs w:val="36"/>
        </w:rPr>
        <w:t>ПП-01</w:t>
      </w: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000000"/>
          <w:sz w:val="32"/>
          <w:szCs w:val="32"/>
        </w:rPr>
      </w:pPr>
      <w:r>
        <w:rPr>
          <w:b/>
          <w:caps/>
          <w:color w:val="000000"/>
          <w:sz w:val="32"/>
          <w:szCs w:val="32"/>
        </w:rPr>
        <w:t>Проект планировки территории</w:t>
      </w:r>
    </w:p>
    <w:p>
      <w:pPr>
        <w:pStyle w:val="para43"/>
        <w:ind w:firstLine="0"/>
        <w:spacing w:line="240" w:lineRule="auto"/>
        <w:rPr>
          <w:b/>
          <w:caps/>
          <w:color w:val="000000"/>
          <w:sz w:val="44"/>
          <w:szCs w:val="44"/>
        </w:rPr>
      </w:pPr>
      <w:r>
        <w:rPr>
          <w:b/>
          <w:caps/>
          <w:color w:val="00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  <w:r>
        <w:rPr>
          <w:b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Основная (утверждаемая) часть проекта</w:t>
      </w:r>
    </w:p>
    <w:p>
      <w:pPr>
        <w:pStyle w:val="para43"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1"/>
        <w:spacing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ДИРЕКТОР:                                                                                 Е.В.Алексеева</w:t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ind w:firstLine="0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ind w:firstLine="0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para43"/>
        <w:ind w:firstLine="0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footerReference w:type="default" r:id="rId8"/>
          <w:type w:val="nextPage"/>
          <w:pgSz w:h="16838" w:w="11906"/>
          <w:pgMar w:left="1418" w:top="284" w:right="851" w:bottom="284" w:header="0" w:footer="0"/>
          <w:paperSrc w:first="7" w:other="7" a="0" b="0"/>
          <w:pgNumType w:fmt="decimal"/>
          <w:tmGutter w:val="3"/>
          <w:mirrorMargins w:val="0"/>
          <w:tmSection w:h="-1">
            <w:tmFooter w:id="0" w:h="0" edge="0" text="0">
              <w:shd w:val="none"/>
            </w:tmFoot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1"/>
        <w:ind w:firstLine="0"/>
        <w:spacing w:line="360" w:lineRule="auto"/>
        <w:jc w:val="center"/>
        <w:widowControl w:val="0"/>
        <w:rPr>
          <w:b/>
          <w:sz w:val="28"/>
          <w:szCs w:val="28"/>
          <w:u w:color="auto" w:val="single"/>
        </w:rPr>
      </w:pPr>
      <w:r>
        <w:rPr>
          <w:b/>
          <w:sz w:val="28"/>
          <w:szCs w:val="28"/>
        </w:rPr>
        <w:t>СОСТАВ ПРОЕКТА</w:t>
      </w:r>
      <w:r>
        <w:rPr>
          <w:b/>
          <w:sz w:val="28"/>
          <w:szCs w:val="28"/>
          <w:u w:color="auto" w:val="single"/>
        </w:rPr>
      </w:r>
    </w:p>
    <w:p>
      <w:pPr>
        <w:pStyle w:val="para43"/>
        <w:ind w:firstLine="0"/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Документация по внесению изменений</w:t>
      </w:r>
    </w:p>
    <w:p>
      <w:pPr>
        <w:pStyle w:val="para43"/>
        <w:ind w:firstLine="0"/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документацию по планировке и межеванию территории в границах улиц Вагнера, Кутумной, С.Перовской в Кировском районе г.Астрахани</w:t>
      </w:r>
    </w:p>
    <w:p>
      <w:pPr>
        <w:pStyle w:val="para43"/>
        <w:ind w:firstLine="0"/>
        <w:spacing w:line="240" w:lineRule="auto"/>
        <w:jc w:val="center"/>
        <w:tabs defTabSz="720">
          <w:tab w:val="left" w:pos="2694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Style w:val="NormalTable"/>
        <w:name w:val="Таблица1"/>
        <w:tabOrder w:val="0"/>
        <w:jc w:val="left"/>
        <w:tblInd w:w="8" w:type="dxa"/>
        <w:tblW w:w="9787" w:type="dxa"/>
        <w:tblLook w:val="0000" w:firstRow="0" w:lastRow="0" w:firstColumn="0" w:lastColumn="0" w:noHBand="0" w:noVBand="0"/>
      </w:tblPr>
      <w:tblGrid>
        <w:gridCol w:w="993"/>
        <w:gridCol w:w="1845"/>
        <w:gridCol w:w="5243"/>
        <w:gridCol w:w="1706"/>
      </w:tblGrid>
      <w:tr>
        <w:trPr>
          <w:tblHeader/>
          <w:cantSplit w:val="0"/>
          <w:trHeight w:val="0" w:hRule="auto"/>
        </w:trPr>
        <w:tc>
          <w:tcPr>
            <w:tcW w:w="993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</w:tc>
        <w:tc>
          <w:tcPr>
            <w:tcW w:w="5243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706" w:type="dxa"/>
            <w:vAlign w:val="center"/>
            <w:shd w:val="none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</w:r>
          </w:p>
          <w:p>
            <w:pPr>
              <w:pStyle w:val="para20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ПП-01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Проект планировки территории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855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Том </w:t>
            </w:r>
            <w:r>
              <w:rPr>
                <w:bCs/>
                <w:color w:val="auto"/>
                <w:sz w:val="28"/>
                <w:szCs w:val="28"/>
                <w:lang w:val="en-us"/>
              </w:rPr>
              <w:t>I</w:t>
            </w:r>
            <w:r>
              <w:rPr>
                <w:bCs/>
                <w:color w:val="auto"/>
                <w:sz w:val="28"/>
                <w:szCs w:val="28"/>
                <w:lang w:val="en-us"/>
              </w:rPr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Основная (утверждаемая) часть проекта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585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/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Текстовая часть</w:t>
            </w:r>
          </w:p>
          <w:p>
            <w:pPr>
              <w:pStyle w:val="para202"/>
              <w:ind w:left="14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Графическая часть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435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Том </w:t>
            </w:r>
            <w:r>
              <w:rPr>
                <w:bCs/>
                <w:color w:val="auto"/>
                <w:sz w:val="28"/>
                <w:szCs w:val="28"/>
                <w:lang w:val="en-us"/>
              </w:rPr>
              <w:t>II</w:t>
            </w:r>
            <w:r>
              <w:rPr>
                <w:bCs/>
                <w:color w:val="auto"/>
                <w:sz w:val="28"/>
                <w:szCs w:val="28"/>
                <w:lang w:val="en-us"/>
              </w:rPr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Материалы по обоснованию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525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/>
        </w:tc>
        <w:tc>
          <w:tcPr>
            <w:tcW w:w="1845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/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Текстовая часть</w:t>
            </w:r>
          </w:p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Графическая часть</w:t>
            </w:r>
            <w:r>
              <w:rPr>
                <w:b/>
                <w:color w:val="auto"/>
                <w:sz w:val="28"/>
                <w:szCs w:val="28"/>
              </w:rPr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1271" w:hRule="atLeast"/>
        </w:trPr>
        <w:tc>
          <w:tcPr>
            <w:tcW w:w="993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ПМ-02</w:t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Проект межевания территории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840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Том </w:t>
            </w:r>
            <w:r>
              <w:rPr>
                <w:bCs/>
                <w:color w:val="auto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auto"/>
                <w:sz w:val="28"/>
                <w:szCs w:val="28"/>
              </w:rPr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Основная (утверждаемая) часть проекта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6" w:space="0" w:color="000000" tmln="15, 20, 20, 0, 0"/>
              <w:left w:val="single" w:sz="6" w:space="0" w:color="000000" tmln="15, 20, 20, 0, 0"/>
              <w:bottom w:val="single" w:sz="4" w:space="0" w:color="000000" tmln="10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1080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Текстовая часть</w:t>
            </w:r>
          </w:p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Графическая часть</w:t>
            </w:r>
            <w:r>
              <w:rPr>
                <w:b/>
                <w:color w:val="auto"/>
                <w:sz w:val="28"/>
                <w:szCs w:val="28"/>
              </w:rPr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570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 w:val="restart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Том </w:t>
            </w:r>
            <w:r>
              <w:rPr>
                <w:bCs/>
                <w:color w:val="auto"/>
                <w:sz w:val="28"/>
                <w:szCs w:val="28"/>
                <w:lang w:val="en-us"/>
              </w:rPr>
              <w:t>II</w:t>
            </w:r>
            <w:r>
              <w:rPr>
                <w:b/>
                <w:color w:val="auto"/>
                <w:sz w:val="28"/>
                <w:szCs w:val="28"/>
              </w:rPr>
            </w:r>
          </w:p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4" w:space="0" w:color="000000" tmln="10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Материалы по обоснованию</w:t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4" w:space="0" w:color="000000" tmln="10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870" w:hRule="atLeast"/>
        </w:trPr>
        <w:tc>
          <w:tcPr>
            <w:tcW w:w="993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/>
        </w:tc>
        <w:tc>
          <w:tcPr>
            <w:tcW w:w="1845" w:type="dxa"/>
            <w:vMerge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/>
        </w:tc>
        <w:tc>
          <w:tcPr>
            <w:tcW w:w="5243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</w:tcBorders>
            <w:tmTcPr id="1575270445" protected="0"/>
          </w:tcPr>
          <w:p>
            <w:pPr>
              <w:pStyle w:val="para202"/>
              <w:ind w:left="14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Графическая часть</w:t>
            </w:r>
            <w:r>
              <w:rPr>
                <w:b/>
                <w:color w:val="auto"/>
                <w:sz w:val="28"/>
                <w:szCs w:val="28"/>
              </w:rPr>
            </w:r>
          </w:p>
        </w:tc>
        <w:tc>
          <w:tcPr>
            <w:tcW w:w="1706" w:type="dxa"/>
            <w:vAlign w:val="center"/>
            <w:shd w:val="solid" w:color="FFFFFF" tmshd="1677721856, 0, 16777215"/>
            <w:tcMar>
              <w:left w:w="0" w:type="dxa"/>
              <w:right w:w="0" w:type="dxa"/>
            </w:tcMar>
            <w:tcBorders>
              <w:top w:val="single" w:sz="4" w:space="0" w:color="000000" tmln="10, 20, 20, 0, 0"/>
              <w:left w:val="single" w:sz="6" w:space="0" w:color="000000" tmln="15, 20, 20, 0, 0"/>
              <w:bottom w:val="single" w:sz="6" w:space="0" w:color="000000" tmln="15, 20, 20, 0, 0"/>
              <w:right w:val="single" w:sz="6" w:space="0" w:color="000000" tmln="15, 20, 20, 0, 0"/>
            </w:tcBorders>
            <w:tmTcPr id="1575270445" protected="0"/>
          </w:tcPr>
          <w:p>
            <w:pPr>
              <w:pStyle w:val="para202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</w:r>
          </w:p>
        </w:tc>
      </w:tr>
    </w:tbl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9"/>
        <w:rPr>
          <w:caps w:val="0"/>
          <w:sz w:val="28"/>
          <w:u w:color="auto" w:val="single"/>
        </w:rPr>
      </w:pPr>
      <w:r>
        <w:rPr>
          <w:caps w:val="0"/>
          <w:sz w:val="28"/>
          <w:u w:color="auto" w:val="single"/>
        </w:rPr>
      </w:r>
    </w:p>
    <w:p>
      <w:pPr>
        <w:pStyle w:val="para49"/>
        <w:rPr>
          <w:caps w:val="0"/>
          <w:sz w:val="28"/>
          <w:u w:color="auto" w:val="single"/>
        </w:rPr>
      </w:pPr>
      <w:r>
        <w:rPr>
          <w:caps w:val="0"/>
          <w:sz w:val="28"/>
          <w:u w:color="auto" w:val="single"/>
        </w:rPr>
      </w:r>
    </w:p>
    <w:p>
      <w:pPr>
        <w:pStyle w:val="para49"/>
        <w:rPr>
          <w:caps w:val="0"/>
          <w:sz w:val="28"/>
          <w:u w:color="auto" w:val="single"/>
        </w:rPr>
      </w:pPr>
      <w:r>
        <w:rPr>
          <w:caps w:val="0"/>
          <w:sz w:val="28"/>
          <w:u w:color="auto" w:val="single"/>
        </w:rPr>
      </w:r>
    </w:p>
    <w:p>
      <w:pPr>
        <w:pStyle w:val="para49"/>
        <w:rPr>
          <w:caps w:val="0"/>
          <w:sz w:val="28"/>
          <w:u w:color="auto" w:val="single"/>
        </w:rPr>
      </w:pPr>
      <w:r>
        <w:rPr>
          <w:caps w:val="0"/>
          <w:sz w:val="28"/>
          <w:u w:color="auto" w:val="single"/>
        </w:rPr>
      </w:r>
    </w:p>
    <w:p>
      <w:pPr>
        <w:pStyle w:val="para49"/>
        <w:rPr>
          <w:caps w:val="0"/>
          <w:sz w:val="28"/>
          <w:u w:color="auto" w:val="single"/>
        </w:rPr>
      </w:pPr>
      <w:r>
        <w:rPr>
          <w:caps w:val="0"/>
          <w:sz w:val="28"/>
          <w:u w:color="auto" w:val="single"/>
        </w:rPr>
      </w:r>
    </w:p>
    <w:p>
      <w:pPr>
        <w:pStyle w:val="para49"/>
        <w:rPr>
          <w:bCs/>
          <w:caps w:val="0"/>
          <w:sz w:val="28"/>
          <w:szCs w:val="28"/>
        </w:rPr>
      </w:pPr>
      <w:r>
        <w:rPr>
          <w:bCs/>
          <w:caps w:val="0"/>
          <w:sz w:val="28"/>
          <w:szCs w:val="28"/>
        </w:rPr>
        <w:t>СОСТАВ ПРОЕКТА ПЛАНИРОВКИ ТЕРРИТОРИИ</w:t>
      </w:r>
    </w:p>
    <w:p>
      <w:pPr>
        <w:pStyle w:val="para43"/>
        <w:ind w:firstLine="0"/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Документация по внесению изменений</w:t>
      </w:r>
    </w:p>
    <w:p>
      <w:pPr>
        <w:pStyle w:val="para43"/>
        <w:ind w:firstLine="0"/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документацию по планировке и межеванию территории в границах улиц Вагнера, Кутумной, С.Перовской в Кировском районе г.Астрахани</w:t>
      </w:r>
    </w:p>
    <w:p>
      <w:pPr>
        <w:pStyle w:val="para43"/>
        <w:ind w:firstLine="0"/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Style w:val="TableGrid"/>
        <w:name w:val="Таблица2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780"/>
        <w:gridCol w:w="1775"/>
        <w:gridCol w:w="5237"/>
        <w:gridCol w:w="2012"/>
      </w:tblGrid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тома</w:t>
            </w:r>
          </w:p>
        </w:tc>
        <w:tc>
          <w:tcPr>
            <w:tcW w:w="1775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Обозначение</w:t>
            </w:r>
          </w:p>
        </w:tc>
        <w:tc>
          <w:tcPr>
            <w:tcW w:w="5237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ПП-01</w:t>
            </w:r>
          </w:p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планировки территории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Основная часть проекта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Текстовая часть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75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Том </w:t>
            </w:r>
            <w:r>
              <w:rPr>
                <w:sz w:val="28"/>
                <w:szCs w:val="28"/>
                <w:lang w:val="en-us"/>
              </w:rPr>
              <w:t xml:space="preserve">I </w:t>
            </w:r>
            <w:r>
              <w:rPr>
                <w:sz w:val="28"/>
                <w:szCs w:val="28"/>
              </w:rPr>
            </w:r>
          </w:p>
        </w:tc>
        <w:tc>
          <w:tcPr>
            <w:tcW w:w="5237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(утверждаемая) часть проекта планировки территории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Графическая часть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планировки территории (основной чертеж)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1:500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красных линий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1:500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ПП-01</w:t>
            </w:r>
          </w:p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планировки территории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Материалы по обоснованию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Текстовая часть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75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Том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W w:w="5237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по обоснованию проекта планировки территории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804" w:type="dxa"/>
            <w:gridSpan w:val="4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Графическая часть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1:50000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территории. Схема организации улично-дорожной сети 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1:500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границ территорий объектов культурного наследия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1:50000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границ зон с особыми условиями использования территории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1:500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Схема, отображающая местоположение существующих объектов капитального строительства, в том числе линейных объектов в границах проектирования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1:1000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80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12" w:type="dxa"/>
            <w:gridSpan w:val="2"/>
            <w:tmTcPr id="1575270445" protected="0"/>
          </w:tcPr>
          <w:p>
            <w:pPr>
              <w:pStyle w:val="para43"/>
              <w:ind w:firstLine="0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Поперечные профили улично-дорожной сети</w:t>
            </w:r>
          </w:p>
        </w:tc>
        <w:tc>
          <w:tcPr>
            <w:tcW w:w="2012" w:type="dxa"/>
            <w:tmTcPr id="1575270445" protected="0"/>
          </w:tcPr>
          <w:p>
            <w:pPr>
              <w:pStyle w:val="para43"/>
              <w:ind w:firstLine="0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 1:250</w:t>
            </w:r>
          </w:p>
        </w:tc>
      </w:tr>
    </w:tbl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color w:val="ff0000"/>
        </w:rPr>
      </w:pPr>
      <w:r>
        <w:rPr>
          <w:b w:val="0"/>
          <w:caps w:val="0"/>
          <w:color w:val="ff0000"/>
        </w:rPr>
      </w:r>
    </w:p>
    <w:p>
      <w:pPr>
        <w:pStyle w:val="para43"/>
        <w:ind w:firstLine="737"/>
        <w:rPr>
          <w:sz w:val="28"/>
          <w:szCs w:val="28"/>
        </w:rPr>
      </w:pPr>
      <w:r>
        <w:rPr>
          <w:color w:val="000000"/>
          <w:sz w:val="28"/>
          <w:szCs w:val="28"/>
        </w:rPr>
        <w:t>Документация по внесению изменений в документацию по планировке и межеванию территории в границах улиц Вагнера, Кутумной, С.Перовской в Кировском районе г.Астрахани</w:t>
      </w:r>
      <w:r>
        <w:rPr>
          <w:sz w:val="28"/>
          <w:szCs w:val="28"/>
        </w:rPr>
        <w:t xml:space="preserve"> подготовлена специалистами МБУ г. Астрахани «Архитектура»:</w:t>
      </w:r>
    </w:p>
    <w:p>
      <w:pPr>
        <w:pStyle w:val="para11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</w:r>
    </w:p>
    <w:p>
      <w:pPr>
        <w:pStyle w:val="para85"/>
        <w:ind w:right="630"/>
        <w:tabs defTabSz="720">
          <w:tab w:val="clear" w:pos="9214" w:leader="none"/>
          <w:tab w:val="right" w:pos="9270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Нач. отдела: </w:t>
        <w:tab/>
        <w:t xml:space="preserve">              Китчак О.И.</w:t>
      </w:r>
    </w:p>
    <w:p>
      <w:pPr>
        <w:pStyle w:val="para85"/>
        <w:ind w:right="573"/>
        <w:tabs defTabSz="720">
          <w:tab w:val="clear" w:pos="9214" w:leader="none"/>
          <w:tab w:val="right" w:pos="9298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Вед.архитектор:                                                                 Приходько А.В.</w:t>
      </w:r>
    </w:p>
    <w:p>
      <w:pPr>
        <w:pStyle w:val="para85"/>
        <w:ind w:right="573"/>
        <w:tabs defTabSz="720">
          <w:tab w:val="clear" w:pos="9214" w:leader="none"/>
          <w:tab w:val="right" w:pos="9298" w:leader="none"/>
        </w:tabs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para85"/>
        <w:ind w:left="0" w:firstLine="709"/>
        <w:spacing/>
        <w:jc w:val="both"/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5"/>
        <w:ind w:left="0" w:firstLine="709"/>
        <w:spacing/>
        <w:jc w:val="both"/>
        <w:widowContro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para11"/>
        <w:spacing w:line="360" w:lineRule="auto"/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Документация соответствует государственным нормам, правилам и стандартам, а также требованиям задания на разработку документации.</w:t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</w:r>
    </w:p>
    <w:p>
      <w:pPr>
        <w:pStyle w:val="para49"/>
        <w:spacing/>
        <w:jc w:val="left"/>
        <w:rPr>
          <w:caps w:val="0"/>
          <w:sz w:val="28"/>
          <w:u w:color="auto" w:val="single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>
        <w:rPr>
          <w:caps w:val="0"/>
          <w:sz w:val="28"/>
          <w:u w:color="auto" w:val="single"/>
        </w:rPr>
        <w:t>СОДЕРЖАНИЕ</w:t>
      </w:r>
      <w:r>
        <w:rPr>
          <w:caps w:val="0"/>
          <w:sz w:val="28"/>
          <w:u w:color="auto" w:val="single"/>
        </w:rPr>
      </w:r>
    </w:p>
    <w:p>
      <w:pPr>
        <w:pStyle w:val="para49"/>
        <w:rPr>
          <w:caps w:val="0"/>
          <w:sz w:val="28"/>
        </w:rPr>
      </w:pPr>
      <w:r>
        <w:rPr>
          <w:caps w:val="0"/>
          <w:sz w:val="28"/>
        </w:rPr>
        <w:t xml:space="preserve">ЧАСТЬ </w:t>
      </w:r>
      <w:r>
        <w:rPr>
          <w:caps w:val="0"/>
          <w:sz w:val="28"/>
          <w:lang w:val="en-us"/>
        </w:rPr>
        <w:t>I</w:t>
      </w:r>
      <w:r>
        <w:rPr>
          <w:caps w:val="0"/>
          <w:sz w:val="28"/>
        </w:rPr>
        <w:t>.</w:t>
      </w:r>
    </w:p>
    <w:p>
      <w:pPr>
        <w:pStyle w:val="para49"/>
        <w:rPr>
          <w:caps w:val="0"/>
          <w:sz w:val="28"/>
        </w:rPr>
      </w:pPr>
      <w:r>
        <w:rPr>
          <w:caps w:val="0"/>
          <w:sz w:val="28"/>
        </w:rPr>
        <w:t>ТЕКСТОВАЯ ЧАСТЬ ОСНОВНОЙ (УТВЕРЖДАЕМОЙ) ЧАСТИ ПРОЕКТА ПЛАНИРОВКИ ТЕРРИТОРИИ</w:t>
      </w:r>
    </w:p>
    <w:p>
      <w:pPr>
        <w:pStyle w:val="para32"/>
        <w:rPr>
          <w:sz w:val="28"/>
        </w:rPr>
      </w:pPr>
      <w:r>
        <w:rPr>
          <w:sz w:val="28"/>
        </w:rPr>
        <w:t xml:space="preserve">      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headerReference w:type="default" r:id="rId9"/>
          <w:footerReference w:type="default" r:id="rId10"/>
          <w:headerReference w:type="first" r:id="rId11"/>
          <w:footerReference w:type="first" r:id="rId12"/>
          <w:type w:val="nextPage"/>
          <w:pgSz w:h="16838" w:w="11906"/>
          <w:pgMar w:left="1418" w:top="725" w:right="674" w:bottom="716" w:header="300" w:footer="381"/>
          <w:paperSrc w:first="7" w:other="7" a="0" b="0"/>
          <w:pgNumType w:fmt="decimal"/>
          <w:titlePg/>
          <w:tmGutter w:val="3"/>
          <w:mirrorMargins w:val="0"/>
          <w:tmSection w:h="-1">
            <w:tmHeader w:id="0" w:h="0" edge="300" text="0">
              <w:shd w:val="none"/>
            </w:tmHeader>
            <w:tmFooter w:id="0" w:h="0" edge="381" text="0">
              <w:shd w:val="none"/>
            </w:tmFooter>
            <w:tmHeader w:id="2" w:h="0" edge="300" text="0">
              <w:shd w:val="none"/>
            </w:tmHeader>
            <w:tmFooter w:id="2" w:h="0" edge="381" text="0">
              <w:shd w:val="none"/>
            </w:tmFoot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1. </w:t>
      </w:r>
      <w:r>
        <w:rPr>
          <w:sz w:val="28"/>
          <w:szCs w:val="28"/>
          <w:u w:color="auto" w:val="single"/>
        </w:rPr>
        <w:t>Положение о характеристиках планируемого развития территории</w:t>
      </w:r>
      <w:r>
        <w:rPr>
          <w:sz w:val="28"/>
          <w:szCs w:val="28"/>
        </w:rPr>
        <w:t>…………………………………………………………………………    6</w:t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2. </w:t>
      </w:r>
      <w:r>
        <w:rPr>
          <w:sz w:val="28"/>
          <w:szCs w:val="28"/>
          <w:u w:color="auto" w:val="single"/>
        </w:rPr>
        <w:t>Положение об очередности планируемого развития территории</w:t>
      </w:r>
      <w:r>
        <w:rPr>
          <w:sz w:val="28"/>
          <w:szCs w:val="28"/>
        </w:rPr>
        <w:t xml:space="preserve"> ……14</w:t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/>
      <w:bookmarkStart w:id="2" w:name="_GoBack"/>
      <w:bookmarkEnd w:id="2"/>
      <w:r/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type w:val="continuous"/>
          <w:pgSz w:h="16838" w:w="11906"/>
          <w:pgMar w:left="1418" w:top="725" w:right="674" w:bottom="716"/>
          <w:paperSrc w:first="7" w:other="7" a="0" b="0"/>
          <w:pgNumType w:fmt="decimal"/>
          <w:tmGutter w:val="3"/>
          <w:mirrorMargins w:val="0"/>
          <w:tmSection w:h="-1"/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 ПОЛОЖЕНИЯ О ХАРАКТЕРИСТИКАХ ПЛАНИРУЕМОГО РАЗВИТИЯ ТЕРРИТОРИИ</w:t>
      </w:r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КРАСНЫЕ ЛИНИИ, ЛИНИИ РЕГУЛИРОВАНИЯ ЗАСТРОЙКИ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границах красных линий выделяются территории общего пользования, к которым относится проезжая часть улиц общего пользования, примыкания и съезды с проезжей части, пешеходные коммуникации, места доступа к объектам капитального строительства вне красных линий и участки природного или благоустроенного ландшафта – территории которыми может пользоваться неограниченный круг лиц, и выделяются участки на которых расположены линии электропередачи, линии связи (в том числе линейно-кабельные сооружения), автомобильные дороги и другие подобные сооружения – доступ к которым разрешен физическим и юридическим лицам, связанным с эксплуатацией и функционированием вышеуказанных объектов. </w:t>
      </w:r>
    </w:p>
    <w:p>
      <w:pPr>
        <w:ind w:firstLine="720"/>
        <w:spacing w:after="0" w:line="360" w:lineRule="auto"/>
        <w:widowControl/>
        <w:rPr>
          <w:rFonts w:cs="Times New Roman"/>
          <w:color w:val="000000"/>
          <w:sz w:val="28"/>
          <w:szCs w:val="28"/>
          <w:lang w:bidi="ar-sa"/>
        </w:rPr>
      </w:pPr>
      <w:r>
        <w:rPr>
          <w:rFonts w:cs="Times New Roman"/>
          <w:color w:val="000000"/>
          <w:sz w:val="28"/>
          <w:szCs w:val="28"/>
          <w:lang w:bidi="ar-sa"/>
        </w:rPr>
        <w:t xml:space="preserve">Настоящим проектом предусмотрена отмена участка красных линий в границах между точками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2 </w:t>
      </w:r>
      <w:r>
        <w:rPr>
          <w:rFonts w:cs="Times New Roman"/>
          <w:color w:val="000000"/>
          <w:sz w:val="28"/>
          <w:szCs w:val="28"/>
          <w:lang w:bidi="ar-sa"/>
        </w:rPr>
        <w:t>и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 3</w:t>
      </w:r>
      <w:r>
        <w:rPr>
          <w:rFonts w:cs="Times New Roman"/>
          <w:color w:val="000000"/>
          <w:sz w:val="28"/>
          <w:szCs w:val="28"/>
          <w:lang w:bidi="ar-sa"/>
        </w:rPr>
        <w:t xml:space="preserve">, утвержденных ранее, и введение на этом участке дополнительных характерных точек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>3к, 4к и 5к</w:t>
      </w:r>
      <w:r>
        <w:rPr>
          <w:rFonts w:cs="Times New Roman"/>
          <w:color w:val="000000"/>
          <w:sz w:val="28"/>
          <w:szCs w:val="28"/>
          <w:lang w:bidi="ar-sa"/>
        </w:rPr>
        <w:t xml:space="preserve"> в составе устанавливаемых красных линий. Во избежании дублирования и усложнения учета точек красных линий, проектом предлагается переименовать точки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1, 2, 3, 5 </w:t>
      </w:r>
      <w:r>
        <w:rPr>
          <w:rFonts w:cs="Times New Roman"/>
          <w:color w:val="000000"/>
          <w:sz w:val="28"/>
          <w:szCs w:val="28"/>
          <w:lang w:bidi="ar-sa"/>
        </w:rPr>
        <w:t>и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 4</w:t>
      </w:r>
      <w:r>
        <w:rPr>
          <w:rFonts w:cs="Times New Roman"/>
          <w:color w:val="000000"/>
          <w:sz w:val="28"/>
          <w:szCs w:val="28"/>
          <w:lang w:bidi="ar-sa"/>
        </w:rPr>
        <w:t xml:space="preserve"> (ранее утвержденные в составе документации по планировке и межеванию территории в границах улиц Вагнера, Кутумной, С.Перовской в Кировском районе г. Астрахани) в точки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>1к, 2к, 6к, 7к и 8к</w:t>
      </w:r>
      <w:r>
        <w:rPr>
          <w:rFonts w:cs="Times New Roman"/>
          <w:color w:val="000000"/>
          <w:sz w:val="28"/>
          <w:szCs w:val="28"/>
          <w:lang w:bidi="ar-sa"/>
        </w:rPr>
        <w:t xml:space="preserve"> соответственно.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Каталог поворотных точек красных линий представлен ниже (таблица 1.1).</w:t>
      </w:r>
    </w:p>
    <w:p>
      <w:pPr>
        <w:pStyle w:val="para1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1.1</w:t>
      </w:r>
    </w:p>
    <w:p>
      <w:pPr>
        <w:pStyle w:val="para3"/>
        <w:numPr>
          <w:ilvl w:val="0"/>
          <w:numId w:val="0"/>
        </w:numPr>
        <w:ind w:left="0" w:firstLine="0"/>
        <w:spacing w:line="36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  <w:t>Перечень координат характерных точек красных линий</w:t>
      </w:r>
    </w:p>
    <w:tbl>
      <w:tblPr>
        <w:tblStyle w:val="NormalTable"/>
        <w:name w:val="Таблица3"/>
        <w:tabOrder w:val="0"/>
        <w:jc w:val="left"/>
        <w:tblInd w:w="704" w:type="dxa"/>
        <w:tblW w:w="8368" w:type="dxa"/>
        <w:tblLook w:val="04A0" w:firstRow="1" w:lastRow="0" w:firstColumn="1" w:lastColumn="0" w:noHBand="0" w:noVBand="1"/>
      </w:tblPr>
      <w:tblGrid>
        <w:gridCol w:w="1858"/>
        <w:gridCol w:w="3106"/>
        <w:gridCol w:w="3404"/>
      </w:tblGrid>
      <w:tr>
        <w:trPr>
          <w:tblHeader w:val="0"/>
          <w:cantSplit w:val="0"/>
          <w:trHeight w:val="556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ind w:firstLine="14"/>
              <w:spacing w:line="120" w:lineRule="auto"/>
              <w:jc w:val="center"/>
              <w:pBdr>
                <w:top w:val="nil" w:sz="0" w:space="3" w:color="000000" tmln="20, 20, 20, 0, 60"/>
                <w:left w:val="nil" w:sz="0" w:space="0" w:color="000000" tmln="20, 20, 20, 0, 0"/>
                <w:bottom w:val="nil" w:sz="0" w:space="3" w:color="000000" tmln="20, 20, 20, 0, 6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Обозначение</w:t>
            </w:r>
          </w:p>
          <w:p>
            <w:pPr>
              <w:ind w:firstLine="14"/>
              <w:spacing w:line="120" w:lineRule="auto"/>
              <w:jc w:val="center"/>
              <w:pBdr>
                <w:top w:val="nil" w:sz="0" w:space="3" w:color="000000" tmln="20, 20, 20, 0, 60"/>
                <w:left w:val="nil" w:sz="0" w:space="0" w:color="000000" tmln="20, 20, 20, 0, 0"/>
                <w:bottom w:val="nil" w:sz="0" w:space="3" w:color="000000" tmln="20, 20, 20, 0, 6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точки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0445" protected="0"/>
          </w:tcPr>
          <w:p>
            <w:pPr>
              <w:spacing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blHeader w:val="0"/>
          <w:cantSplit w:val="0"/>
          <w:trHeight w:val="313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420416,85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2224285.43</w:t>
            </w:r>
          </w:p>
        </w:tc>
      </w:tr>
      <w:tr>
        <w:trPr>
          <w:tblHeader w:val="0"/>
          <w:cantSplit w:val="0"/>
          <w:trHeight w:val="343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420416.25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2224287.11</w:t>
            </w:r>
          </w:p>
        </w:tc>
      </w:tr>
      <w:tr>
        <w:trPr>
          <w:tblHeader w:val="0"/>
          <w:cantSplit w:val="0"/>
          <w:trHeight w:val="32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420415.06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2224299.42</w:t>
            </w:r>
          </w:p>
        </w:tc>
      </w:tr>
      <w:tr>
        <w:trPr>
          <w:tblHeader w:val="0"/>
          <w:cantSplit w:val="0"/>
          <w:trHeight w:val="343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420413.52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2224316.52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420411.47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2224337.89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420402.81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2224430.03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420309.63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2224417.84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420325.65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2224273.63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420379.68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0445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2224280.61</w:t>
            </w:r>
          </w:p>
        </w:tc>
      </w:tr>
    </w:tbl>
    <w:p>
      <w:pPr>
        <w:pStyle w:val="para13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ТЕХНИКО – ЭКОНОМИЧЕСКИЕ ПОКАЗАТЕЛИ</w:t>
      </w:r>
    </w:p>
    <w:p>
      <w:pPr>
        <w:pStyle w:val="para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Технико – экономические показатели по проекту планировки территории представлены в таблице 1.2. </w:t>
      </w:r>
    </w:p>
    <w:p>
      <w:pPr>
        <w:pStyle w:val="para1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1.2. </w:t>
      </w:r>
    </w:p>
    <w:p>
      <w:pPr>
        <w:pStyle w:val="para13"/>
        <w:ind w:firstLine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Технико-экономические показатели по проекту планировки территории</w:t>
      </w:r>
    </w:p>
    <w:tbl>
      <w:tblPr>
        <w:tblStyle w:val="TableGrid"/>
        <w:name w:val="Таблица12"/>
        <w:tabOrder w:val="0"/>
        <w:jc w:val="left"/>
        <w:tblInd w:w="0" w:type="dxa"/>
        <w:tblW w:w="9345" w:type="dxa"/>
        <w:tblLook w:val="04A0" w:firstRow="1" w:lastRow="0" w:firstColumn="1" w:lastColumn="0" w:noHBand="0" w:noVBand="1"/>
      </w:tblPr>
      <w:tblGrid>
        <w:gridCol w:w="756"/>
        <w:gridCol w:w="4981"/>
        <w:gridCol w:w="1520"/>
        <w:gridCol w:w="1095"/>
        <w:gridCol w:w="993"/>
      </w:tblGrid>
      <w:tr>
        <w:trPr>
          <w:tblHeader w:val="0"/>
          <w:cantSplit/>
          <w:trHeight w:val="1139" w:hRule="atLeast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1520" w:type="dxa"/>
            <w:textDirection w:val="btLr"/>
            <w:tmTcPr id="1575270445" protected="0"/>
          </w:tcPr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095" w:type="dxa"/>
            <w:textDirection w:val="btLr"/>
            <w:tmTcPr id="1575270445" protected="0"/>
          </w:tcPr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  <w:t>Показатель</w:t>
            </w:r>
          </w:p>
        </w:tc>
        <w:tc>
          <w:tcPr>
            <w:tcW w:w="993" w:type="dxa"/>
            <w:textDirection w:val="btLr"/>
            <w:tmTcPr id="1575270445" protected="0"/>
          </w:tcPr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>
        <w:trPr>
          <w:tblHeader w:val="0"/>
          <w:cantSplit w:val="0"/>
          <w:trHeight w:val="411" w:hRule="atLeast"/>
        </w:trPr>
        <w:tc>
          <w:tcPr>
            <w:tcW w:w="9345" w:type="dxa"/>
            <w:gridSpan w:val="5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ТЕРРИТОРИЯ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Площадь территории в границах разработки проекта всего, в т.ч.: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100 %</w:t>
            </w:r>
          </w:p>
        </w:tc>
      </w:tr>
      <w:tr>
        <w:trPr>
          <w:tblHeader w:val="0"/>
          <w:cantSplit w:val="0"/>
          <w:trHeight w:val="1240" w:hRule="atLeast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Территории общ. пользования (площадь, улицы, проезды, сквер, пешеходная улица, линейные объекты, охранные и санитарно-защитные зоны) в т.ч.: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0,2553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15,96%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</w:pPr>
            <w:r>
              <w:t>1.1.2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Участки общего пользования в границах красных линий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0,1072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6,69%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1.1.3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Участки общего пользования за границами красных линий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0,1936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12,10%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1.1.4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Зона объектов многоэтажного жилищного строительства (проект.)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1,0041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62,76%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1.1.5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Зона объектов коммунального обслуживания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0,0398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2,49%</w:t>
            </w:r>
          </w:p>
        </w:tc>
      </w:tr>
      <w:tr>
        <w:trPr>
          <w:tblHeader w:val="0"/>
          <w:cantSplit w:val="0"/>
          <w:trHeight w:val="411" w:hRule="atLeast"/>
        </w:trPr>
        <w:tc>
          <w:tcPr>
            <w:tcW w:w="9345" w:type="dxa"/>
            <w:gridSpan w:val="5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ЖИЛИЩНЫЙ ФОНД И НАСЕЛЕНИЕ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 xml:space="preserve">Многоквартирные жилые дома, в т.ч.: 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3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2.1.1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Многоквартирный 1-но секционный жилой дом (</w:t>
            </w:r>
            <w:r>
              <w:rPr>
                <w:lang w:val="en-us"/>
              </w:rPr>
              <w:t>I</w:t>
            </w:r>
            <w:r>
              <w:t xml:space="preserve"> этап) - 24 квартиры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2.1.2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Многоквартирный 4-х секционный жилой дом (</w:t>
            </w:r>
            <w:r>
              <w:rPr>
                <w:lang w:val="en-us"/>
              </w:rPr>
              <w:t>II</w:t>
            </w:r>
            <w:r>
              <w:t xml:space="preserve"> этап) - 96 квартир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2.1.3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Многоквартирный 2-х секционный жилой дом (</w:t>
            </w:r>
            <w:r>
              <w:rPr>
                <w:lang w:val="en-us"/>
              </w:rPr>
              <w:t>III</w:t>
            </w:r>
            <w:r>
              <w:t xml:space="preserve"> этап) - 54 квартиры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2.2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Кол-во человек, размещаемых в планируемом доме (</w:t>
            </w:r>
            <w:r>
              <w:rPr>
                <w:lang w:val="en-us"/>
              </w:rPr>
              <w:t>I - II</w:t>
            </w:r>
            <w:r>
              <w:t xml:space="preserve"> этап)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чел./секция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72/1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2.3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Кол-во человек, размещаемых в планируемом доме (</w:t>
            </w:r>
            <w:r>
              <w:rPr>
                <w:lang w:val="en-us"/>
              </w:rPr>
              <w:t>III</w:t>
            </w:r>
            <w:r>
              <w:t xml:space="preserve"> этап)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чел./секция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80/1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2.4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Средний размер семьи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3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2.5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Расчетное кол-во населения, в том числе: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520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2.5.1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Многоквартирный 1-но секционный жилой дом (</w:t>
            </w:r>
            <w:r>
              <w:rPr>
                <w:lang w:val="en-us"/>
              </w:rPr>
              <w:t>I</w:t>
            </w:r>
            <w:r>
              <w:t xml:space="preserve"> этап)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72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2.5.2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Многоквартирный 4-х секционный жилой дом (</w:t>
            </w:r>
            <w:r>
              <w:rPr>
                <w:lang w:val="en-us"/>
              </w:rPr>
              <w:t>II</w:t>
            </w:r>
            <w:r>
              <w:t xml:space="preserve"> этап)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288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2.5.3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Многоквартирный 2-х секционный жилой дом (</w:t>
            </w:r>
            <w:r>
              <w:rPr>
                <w:lang w:val="en-us"/>
              </w:rPr>
              <w:t>III</w:t>
            </w:r>
            <w:r>
              <w:t xml:space="preserve"> этап)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160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381" w:hRule="atLeast"/>
        </w:trPr>
        <w:tc>
          <w:tcPr>
            <w:tcW w:w="9345" w:type="dxa"/>
            <w:gridSpan w:val="5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ОЗЕЛЕНЕНИЕ ТЕРРИТОРИИ ОБЩЕГО ПОЛЬЗОВАНИЯ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3.1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Озелененные территории общего пользования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0,09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/>
          </w:p>
        </w:tc>
      </w:tr>
      <w:tr>
        <w:trPr>
          <w:tblHeader w:val="0"/>
          <w:cantSplit w:val="0"/>
          <w:trHeight w:val="456" w:hRule="atLeast"/>
        </w:trPr>
        <w:tc>
          <w:tcPr>
            <w:tcW w:w="9345" w:type="dxa"/>
            <w:gridSpan w:val="5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ОБЪЕКТЫ ТРАНСПОРТНОЙ ИНФРАСТУРКТУРЫ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4.1</w:t>
            </w:r>
          </w:p>
        </w:tc>
        <w:tc>
          <w:tcPr>
            <w:tcW w:w="4981" w:type="dxa"/>
            <w:tmTcPr id="1575270445" protected="0"/>
          </w:tcPr>
          <w:p>
            <w:pPr>
              <w:pStyle w:val="para13"/>
              <w:ind w:firstLine="0"/>
            </w:pPr>
            <w:r>
              <w:t>Протяженность улицы местного значения в районах многоэтажной застройки</w:t>
            </w:r>
          </w:p>
        </w:tc>
        <w:tc>
          <w:tcPr>
            <w:tcW w:w="152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км</w:t>
            </w:r>
          </w:p>
        </w:tc>
        <w:tc>
          <w:tcPr>
            <w:tcW w:w="1095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0,136</w:t>
            </w:r>
          </w:p>
        </w:tc>
        <w:tc>
          <w:tcPr>
            <w:tcW w:w="99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-</w:t>
            </w:r>
          </w:p>
        </w:tc>
      </w:tr>
    </w:tbl>
    <w:p>
      <w:pPr>
        <w:ind w:firstLine="0"/>
        <w:tabs defTabSz="708"/>
      </w:pPr>
      <w:r/>
    </w:p>
    <w:p>
      <w:pPr>
        <w:pStyle w:val="para1"/>
        <w:spacing w:line="336" w:lineRule="auto"/>
        <w:jc w:val="center"/>
        <w:tabs defTabSz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spacing w:line="336" w:lineRule="auto"/>
        <w:jc w:val="center"/>
        <w:tabs defTabSz="708"/>
        <w:rPr>
          <w:sz w:val="28"/>
          <w:szCs w:val="28"/>
        </w:rPr>
      </w:pPr>
      <w:r>
        <w:rPr>
          <w:b/>
          <w:bCs/>
          <w:sz w:val="28"/>
          <w:szCs w:val="28"/>
        </w:rPr>
        <w:t>Технико-Экономические показатели благоустройства территории</w:t>
      </w:r>
      <w:r>
        <w:rPr>
          <w:sz w:val="28"/>
          <w:szCs w:val="28"/>
        </w:rPr>
      </w:r>
    </w:p>
    <w:p>
      <w:pPr>
        <w:tabs defTabSz="708"/>
      </w:pPr>
      <w:r/>
    </w:p>
    <w:tbl>
      <w:tblPr>
        <w:tblStyle w:val="TableGrid"/>
        <w:name w:val="Таблица13"/>
        <w:tabOrder w:val="0"/>
        <w:jc w:val="left"/>
        <w:tblInd w:w="-714" w:type="dxa"/>
        <w:tblW w:w="10348" w:type="dxa"/>
        <w:tblLook w:val="04A0" w:firstRow="1" w:lastRow="0" w:firstColumn="1" w:lastColumn="0" w:noHBand="0" w:noVBand="1"/>
      </w:tblPr>
      <w:tblGrid>
        <w:gridCol w:w="480"/>
        <w:gridCol w:w="2255"/>
        <w:gridCol w:w="1633"/>
        <w:gridCol w:w="581"/>
        <w:gridCol w:w="1807"/>
        <w:gridCol w:w="1796"/>
        <w:gridCol w:w="1796"/>
      </w:tblGrid>
      <w:tr>
        <w:trPr>
          <w:tblHeader w:val="0"/>
          <w:cantSplit/>
          <w:trHeight w:val="1784" w:hRule="atLeast"/>
        </w:trPr>
        <w:tc>
          <w:tcPr>
            <w:tcW w:w="480" w:type="dxa"/>
            <w:vMerge w:val="restart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255" w:type="dxa"/>
            <w:vMerge w:val="restart"/>
            <w:tmTcPr id="1575270445" protected="0"/>
          </w:tcPr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1633" w:type="dxa"/>
            <w:vMerge w:val="restart"/>
            <w:textDirection w:val="btLr"/>
            <w:tmTcPr id="1575270445" protected="0"/>
          </w:tcPr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581" w:type="dxa"/>
            <w:vMerge w:val="restart"/>
            <w:textDirection w:val="btLr"/>
            <w:tmTcPr id="1575270445" protected="0"/>
          </w:tcPr>
          <w:p>
            <w:pPr>
              <w:pStyle w:val="para13"/>
              <w:ind w:left="113" w:right="113" w:firstLine="0"/>
              <w:spacing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Удельный размер площадки, кв.м/чел</w:t>
            </w:r>
          </w:p>
        </w:tc>
        <w:tc>
          <w:tcPr>
            <w:tcW w:w="5399" w:type="dxa"/>
            <w:gridSpan w:val="3"/>
            <w:textDirection w:val="btLr"/>
            <w:tmTcPr id="1575270445" protected="0"/>
          </w:tcPr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Расчетные площади, кв.м/</w:t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маш.мест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2255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633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581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807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Многоквартирный 1-но секционный жилой дом (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</w:rPr>
              <w:t>-этап)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sz w:val="20"/>
                <w:szCs w:val="22"/>
              </w:rPr>
              <w:t>Многоквартирный 4-х секционный жилой дом (</w:t>
            </w:r>
            <w:r>
              <w:rPr>
                <w:sz w:val="20"/>
                <w:szCs w:val="22"/>
                <w:lang w:val="en-us"/>
              </w:rPr>
              <w:t>II</w:t>
            </w:r>
            <w:r>
              <w:rPr>
                <w:sz w:val="20"/>
                <w:szCs w:val="22"/>
              </w:rPr>
              <w:t xml:space="preserve"> этап)</w:t>
            </w:r>
            <w:r>
              <w:rPr>
                <w:b/>
                <w:bCs/>
              </w:rPr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Многоквартирный 2-х секционный жилой дом (</w:t>
            </w:r>
            <w:r>
              <w:rPr>
                <w:sz w:val="20"/>
                <w:lang w:val="en-us"/>
              </w:rPr>
              <w:t>III</w:t>
            </w:r>
            <w:r>
              <w:rPr>
                <w:sz w:val="20"/>
              </w:rPr>
              <w:t xml:space="preserve"> этап)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2255" w:type="dxa"/>
            <w:tmTcPr id="1575270445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территории благоустройства в границах разработки проекта</w:t>
            </w:r>
          </w:p>
        </w:tc>
        <w:tc>
          <w:tcPr>
            <w:tcW w:w="163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</w:tc>
        <w:tc>
          <w:tcPr>
            <w:tcW w:w="5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-</w:t>
            </w:r>
          </w:p>
        </w:tc>
        <w:tc>
          <w:tcPr>
            <w:tcW w:w="1807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2340,8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6354,3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2917,3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</w:t>
            </w:r>
          </w:p>
        </w:tc>
        <w:tc>
          <w:tcPr>
            <w:tcW w:w="2255" w:type="dxa"/>
            <w:tmTcPr id="1575270445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игр детей дошкольного возраста</w:t>
            </w:r>
          </w:p>
        </w:tc>
        <w:tc>
          <w:tcPr>
            <w:tcW w:w="163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(фактич./расч.)</w:t>
            </w:r>
          </w:p>
        </w:tc>
        <w:tc>
          <w:tcPr>
            <w:tcW w:w="5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0,7</w:t>
            </w:r>
          </w:p>
        </w:tc>
        <w:tc>
          <w:tcPr>
            <w:tcW w:w="1807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103,8(50,4)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359,7(201,6)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118,8(112,0)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3</w:t>
            </w:r>
          </w:p>
        </w:tc>
        <w:tc>
          <w:tcPr>
            <w:tcW w:w="2255" w:type="dxa"/>
            <w:tmTcPr id="1575270445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отдыха взрослого населения</w:t>
            </w:r>
          </w:p>
        </w:tc>
        <w:tc>
          <w:tcPr>
            <w:tcW w:w="163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(фактич./расч.)</w:t>
            </w:r>
          </w:p>
        </w:tc>
        <w:tc>
          <w:tcPr>
            <w:tcW w:w="5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0,1</w:t>
            </w:r>
          </w:p>
        </w:tc>
        <w:tc>
          <w:tcPr>
            <w:tcW w:w="1807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30,6(7,2)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55,2(28,8)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21,0(16,0)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4</w:t>
            </w:r>
          </w:p>
        </w:tc>
        <w:tc>
          <w:tcPr>
            <w:tcW w:w="2255" w:type="dxa"/>
            <w:tmTcPr id="1575270445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хозяйственных целей</w:t>
            </w:r>
          </w:p>
        </w:tc>
        <w:tc>
          <w:tcPr>
            <w:tcW w:w="163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(фактич./расч.)</w:t>
            </w:r>
          </w:p>
        </w:tc>
        <w:tc>
          <w:tcPr>
            <w:tcW w:w="5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</w:r>
          </w:p>
        </w:tc>
        <w:tc>
          <w:tcPr>
            <w:tcW w:w="1807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24,0(21,6)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154,0(86,4)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50,0(48,0)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5</w:t>
            </w:r>
          </w:p>
        </w:tc>
        <w:tc>
          <w:tcPr>
            <w:tcW w:w="2255" w:type="dxa"/>
            <w:tmTcPr id="1575270445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Парковки</w:t>
            </w:r>
            <w:r>
              <w:rPr>
                <w:sz w:val="18"/>
                <w:szCs w:val="18"/>
                <w:lang w:val="en-us"/>
              </w:rPr>
              <w:t>*</w:t>
            </w:r>
            <w:r>
              <w:rPr>
                <w:sz w:val="18"/>
                <w:szCs w:val="18"/>
              </w:rPr>
            </w:r>
          </w:p>
        </w:tc>
        <w:tc>
          <w:tcPr>
            <w:tcW w:w="1633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Машина/мест (фактич./расч.)</w:t>
            </w:r>
          </w:p>
        </w:tc>
        <w:tc>
          <w:tcPr>
            <w:tcW w:w="581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-</w:t>
            </w:r>
          </w:p>
        </w:tc>
        <w:tc>
          <w:tcPr>
            <w:tcW w:w="1807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11(21,6)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99(86,4)</w:t>
            </w:r>
          </w:p>
        </w:tc>
        <w:tc>
          <w:tcPr>
            <w:tcW w:w="1796" w:type="dxa"/>
            <w:tmTcPr id="1575270445" protected="0"/>
          </w:tcPr>
          <w:p>
            <w:pPr>
              <w:pStyle w:val="para13"/>
              <w:ind w:firstLine="0"/>
              <w:spacing/>
              <w:jc w:val="center"/>
            </w:pPr>
            <w:r>
              <w:t>49(48)</w:t>
            </w:r>
          </w:p>
        </w:tc>
      </w:tr>
    </w:tbl>
    <w:p>
      <w:pPr>
        <w:tabs defTabSz="708"/>
      </w:pPr>
      <w:r/>
    </w:p>
    <w:p>
      <w:pPr>
        <w:ind w:firstLine="0"/>
        <w:tabs defTabSz="708"/>
      </w:pPr>
      <w:r>
        <w:t>* Согласно п.6.1.2. Нормативов минимальный показатель обеспеченности населения муниципального образования «Город Астрахань» местами для постоянного хранения легковых автомобилей установлен 300 машино-мест на 1000 жителей.</w:t>
      </w:r>
    </w:p>
    <w:p>
      <w:pPr>
        <w:pStyle w:val="para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ХАРАКТЕРИСТИКА ЗОН ПЛАНИРУЕМОГО РАЗМЕЩЕНИЯ ОБЪЕКТОВ</w:t>
      </w:r>
    </w:p>
    <w:p>
      <w:pPr>
        <w:pStyle w:val="para13"/>
        <w:ind w:firstLine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 учетом требований Правил землепользования и застройки МО «Город Астрахань», утвержденных решением Городской думы МО «Город Астрахань» от 17.05.2018 №52, с изменениями, внесенными решениями Городской Думы МО «Город Астрахань» от 14.11.2018 № 163, от 29.01.2019 №9, характеристика и параметры зон планируемого размещения объектов капитального строительства представлены в таблице 1.3. 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1.3</w:t>
      </w:r>
    </w:p>
    <w:p>
      <w:pPr>
        <w:pStyle w:val="para1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Характеристика, параметры зон планируемого размещения объектов капитального строительства</w:t>
      </w:r>
    </w:p>
    <w:tbl>
      <w:tblPr>
        <w:tblStyle w:val="TableGrid"/>
        <w:name w:val="Таблица6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681"/>
        <w:gridCol w:w="3787"/>
        <w:gridCol w:w="1289"/>
        <w:gridCol w:w="1401"/>
        <w:gridCol w:w="2646"/>
      </w:tblGrid>
      <w:tr>
        <w:trPr>
          <w:tblHeader w:val="0"/>
          <w:cantSplit w:val="0"/>
          <w:trHeight w:val="0" w:hRule="auto"/>
        </w:trPr>
        <w:tc>
          <w:tcPr>
            <w:tcW w:w="68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787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элемента планировочной структуры</w:t>
            </w:r>
          </w:p>
        </w:tc>
        <w:tc>
          <w:tcPr>
            <w:tcW w:w="128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Площадь, га</w:t>
            </w:r>
          </w:p>
        </w:tc>
        <w:tc>
          <w:tcPr>
            <w:tcW w:w="140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Этажность застройки</w:t>
            </w:r>
          </w:p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(эт.)</w:t>
            </w:r>
          </w:p>
        </w:tc>
        <w:tc>
          <w:tcPr>
            <w:tcW w:w="2646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Максимальные процент застройки, иные параметры**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787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646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1</w:t>
            </w:r>
          </w:p>
        </w:tc>
        <w:tc>
          <w:tcPr>
            <w:tcW w:w="3787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Зона объектов многоэтажного жилищного строительства</w:t>
            </w:r>
          </w:p>
        </w:tc>
        <w:tc>
          <w:tcPr>
            <w:tcW w:w="128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0,06</w:t>
            </w:r>
          </w:p>
        </w:tc>
        <w:tc>
          <w:tcPr>
            <w:tcW w:w="140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6</w:t>
            </w:r>
          </w:p>
        </w:tc>
        <w:tc>
          <w:tcPr>
            <w:tcW w:w="2646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Не более 65% от площади земельного участка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2</w:t>
            </w:r>
          </w:p>
        </w:tc>
        <w:tc>
          <w:tcPr>
            <w:tcW w:w="3787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Зона объектов существующего многоэтажного жилищного строительства</w:t>
            </w:r>
          </w:p>
        </w:tc>
        <w:tc>
          <w:tcPr>
            <w:tcW w:w="128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0,1</w:t>
            </w:r>
          </w:p>
        </w:tc>
        <w:tc>
          <w:tcPr>
            <w:tcW w:w="140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6</w:t>
            </w:r>
          </w:p>
        </w:tc>
        <w:tc>
          <w:tcPr>
            <w:tcW w:w="2646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3</w:t>
            </w:r>
          </w:p>
        </w:tc>
        <w:tc>
          <w:tcPr>
            <w:tcW w:w="3787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Зона объектов коммунального обслуживания</w:t>
            </w:r>
          </w:p>
        </w:tc>
        <w:tc>
          <w:tcPr>
            <w:tcW w:w="128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0,0015</w:t>
            </w:r>
          </w:p>
        </w:tc>
        <w:tc>
          <w:tcPr>
            <w:tcW w:w="1401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</w:t>
            </w:r>
          </w:p>
        </w:tc>
        <w:tc>
          <w:tcPr>
            <w:tcW w:w="2646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Не более 50% от площади земельного участка</w:t>
            </w:r>
          </w:p>
        </w:tc>
      </w:tr>
    </w:tbl>
    <w:p>
      <w:pPr>
        <w:pStyle w:val="para1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ЖИЛИЩНОЕ СТРОИТЕЛЬСТВО И ЖИЛОЙ ФОНД</w:t>
      </w:r>
    </w:p>
    <w:p>
      <w:pPr>
        <w:pStyle w:val="para13"/>
        <w:spacing w:line="360" w:lineRule="auto"/>
        <w:rPr>
          <w:sz w:val="28"/>
          <w:szCs w:val="28"/>
        </w:rPr>
      </w:pPr>
      <w:r/>
      <w:bookmarkStart w:id="3" w:name="_Hlk16241621"/>
      <w:bookmarkEnd w:id="3"/>
      <w:r/>
      <w:r>
        <w:rPr>
          <w:sz w:val="28"/>
          <w:szCs w:val="28"/>
        </w:rPr>
        <w:tab/>
        <w:t xml:space="preserve">В границах улиц Вагнера, Кутумной, С.Перовской в Кировском районе г. Астрахани сформированы земельные участки под размещение группы многоквартирных жилых домов. Строительство домов предполагает следующие этапы: </w:t>
      </w: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I этап</w:t>
      </w:r>
      <w:r>
        <w:rPr>
          <w:sz w:val="28"/>
          <w:szCs w:val="28"/>
        </w:rPr>
        <w:t xml:space="preserve"> - 10-ти этажный многоквартирный односекционный жилой дом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нежилыми помещениями на первым этаже;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II этап</w:t>
      </w:r>
      <w:r>
        <w:rPr>
          <w:sz w:val="28"/>
          <w:szCs w:val="28"/>
        </w:rPr>
        <w:t xml:space="preserve"> - 10-ти этажный многоквартирный четырехсекционный жилой дом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нежилыми помещениями на первым этаже;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III этап</w:t>
      </w:r>
      <w:r>
        <w:rPr>
          <w:sz w:val="28"/>
          <w:szCs w:val="28"/>
        </w:rPr>
        <w:t xml:space="preserve"> - 10-ти этажный многоквартирный двухсекционный жилой дом. </w:t>
      </w:r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СОЦИАЛЬНАЯ ИНФРАСТУРКТУРА                                </w:t>
      </w:r>
    </w:p>
    <w:p>
      <w:pPr>
        <w:pStyle w:val="para13"/>
        <w:ind w:firstLine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/>
      <w:bookmarkStart w:id="4" w:name="_Hlk24035442"/>
      <w:bookmarkEnd w:id="4"/>
      <w:r/>
      <w:r>
        <w:rPr>
          <w:sz w:val="28"/>
          <w:szCs w:val="28"/>
        </w:rPr>
        <w:t xml:space="preserve">Подготовка предложений по развитию социальной инфраструктуры и социальному обеспечению </w:t>
      </w:r>
      <w:r>
        <w:rPr>
          <w:sz w:val="28"/>
          <w:szCs w:val="28"/>
          <w:lang w:bidi="hi-in"/>
        </w:rPr>
        <w:t xml:space="preserve">в </w:t>
      </w:r>
      <w:r>
        <w:rPr>
          <w:sz w:val="28"/>
          <w:szCs w:val="28"/>
        </w:rPr>
        <w:t xml:space="preserve">границах улиц Вагнера, Кутумной, С.Перовской в Кировском районе г. Астрахани настоящим проектом не предусматривается. </w:t>
      </w:r>
      <w:r>
        <w:rPr>
          <w:sz w:val="28"/>
          <w:szCs w:val="28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</w:pPr>
      <w:r>
        <w:rPr>
          <w:rFonts w:eastAsia="Times New Roman" w:cs="Times New Roman"/>
          <w:color w:val="000000"/>
          <w:sz w:val="28"/>
          <w:szCs w:val="28"/>
          <w:lang w:bidi="ar-sa"/>
        </w:rPr>
        <w:t>Руководствуясь статистическими данными федеральной службы государственной статистики, изложенными в документации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(концепции)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по обеспечению комплексного развития социальной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инфраструктуры муниципального образования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«Город Астрахань», разработанной МБУ г. Астрахани «Архитектура» в 2017 году, общая численность населения г. Астрахани составляет (таб.№1.1.):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Таблица 1.1</w:t>
      </w:r>
    </w:p>
    <w:tbl>
      <w:tblPr>
        <w:tblStyle w:val="TableGrid"/>
        <w:name w:val="Таблица4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4057"/>
        <w:gridCol w:w="1467"/>
        <w:gridCol w:w="1346"/>
        <w:gridCol w:w="1489"/>
        <w:gridCol w:w="1445"/>
      </w:tblGrid>
      <w:tr>
        <w:trPr>
          <w:tblHeader w:val="0"/>
          <w:cantSplit w:val="0"/>
          <w:trHeight w:val="900" w:hRule="atLeast"/>
        </w:trPr>
        <w:tc>
          <w:tcPr>
            <w:tcW w:w="4057" w:type="dxa"/>
            <w:vMerge w:val="restart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Возраст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населения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</w:p>
        </w:tc>
        <w:tc>
          <w:tcPr>
            <w:tcW w:w="5747" w:type="dxa"/>
            <w:gridSpan w:val="4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Численность населения за 2015-2016</w:t>
            </w:r>
          </w:p>
        </w:tc>
      </w:tr>
      <w:tr>
        <w:trPr>
          <w:tblHeader w:val="0"/>
          <w:cantSplit w:val="0"/>
          <w:trHeight w:val="570" w:hRule="atLeast"/>
        </w:trPr>
        <w:tc>
          <w:tcPr>
            <w:tcW w:w="4057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2813" w:type="dxa"/>
            <w:gridSpan w:val="2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2934" w:type="dxa"/>
            <w:gridSpan w:val="2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2016</w:t>
            </w:r>
          </w:p>
        </w:tc>
      </w:tr>
      <w:tr>
        <w:trPr>
          <w:tblHeader w:val="0"/>
          <w:cantSplit w:val="0"/>
          <w:trHeight w:val="465" w:hRule="atLeast"/>
        </w:trPr>
        <w:tc>
          <w:tcPr>
            <w:tcW w:w="4057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46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Тыс. чел.</w:t>
            </w:r>
          </w:p>
        </w:tc>
        <w:tc>
          <w:tcPr>
            <w:tcW w:w="1346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489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Тыс. чел.</w:t>
            </w:r>
          </w:p>
        </w:tc>
        <w:tc>
          <w:tcPr>
            <w:tcW w:w="1445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05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Общая численность населения</w:t>
            </w:r>
          </w:p>
        </w:tc>
        <w:tc>
          <w:tcPr>
            <w:tcW w:w="146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532,7</w:t>
            </w:r>
          </w:p>
        </w:tc>
        <w:tc>
          <w:tcPr>
            <w:tcW w:w="1346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100</w:t>
            </w:r>
          </w:p>
        </w:tc>
        <w:tc>
          <w:tcPr>
            <w:tcW w:w="1489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531,7</w:t>
            </w:r>
          </w:p>
        </w:tc>
        <w:tc>
          <w:tcPr>
            <w:tcW w:w="1445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05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Дети 0-6 лет</w:t>
            </w:r>
          </w:p>
        </w:tc>
        <w:tc>
          <w:tcPr>
            <w:tcW w:w="146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48,7</w:t>
            </w:r>
          </w:p>
        </w:tc>
        <w:tc>
          <w:tcPr>
            <w:tcW w:w="1346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9,14</w:t>
            </w:r>
          </w:p>
        </w:tc>
        <w:tc>
          <w:tcPr>
            <w:tcW w:w="1489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49,7</w:t>
            </w:r>
          </w:p>
        </w:tc>
        <w:tc>
          <w:tcPr>
            <w:tcW w:w="1445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9,34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05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Дети 7-18 лет</w:t>
            </w:r>
          </w:p>
        </w:tc>
        <w:tc>
          <w:tcPr>
            <w:tcW w:w="146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58,3</w:t>
            </w:r>
          </w:p>
        </w:tc>
        <w:tc>
          <w:tcPr>
            <w:tcW w:w="1346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10,93</w:t>
            </w:r>
          </w:p>
        </w:tc>
        <w:tc>
          <w:tcPr>
            <w:tcW w:w="1489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60,5</w:t>
            </w:r>
          </w:p>
        </w:tc>
        <w:tc>
          <w:tcPr>
            <w:tcW w:w="1445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11,37</w:t>
            </w:r>
          </w:p>
        </w:tc>
      </w:tr>
    </w:tbl>
    <w:p>
      <w:pPr>
        <w:ind w:firstLine="72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2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Исходя из изложенного, на население расчетной численностью 520 человек приходится расчетная численность детей:</w:t>
      </w:r>
    </w:p>
    <w:p>
      <w:pPr>
        <w:ind w:firstLine="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возрасте от 0 до 6 лет - 49 детей;</w:t>
      </w:r>
    </w:p>
    <w:p>
      <w:pPr>
        <w:ind w:firstLine="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возрасте от 7 до 18 лет - 59 детей.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/>
      <w:bookmarkStart w:id="5" w:name="_Hlk16241532"/>
      <w:bookmarkEnd w:id="5"/>
      <w:r/>
      <w:r>
        <w:rPr>
          <w:rFonts w:eastAsia="Times New Roman" w:cs="Times New Roman"/>
          <w:sz w:val="28"/>
          <w:szCs w:val="28"/>
          <w:lang w:bidi="ar-sa"/>
        </w:rPr>
        <w:t>Показатели минимально допустимого уровня обеспеченности МО «Город Астрахань» учреждениями общего и специального образования (качественные характеристики и количественные показатели), предусмотренные местными нормативами градостроительного проектирования, приведены в таблице №1.</w:t>
      </w:r>
      <w:r>
        <w:rPr>
          <w:rFonts w:eastAsia="Times New Roman" w:cs="Times New Roman"/>
          <w:sz w:val="28"/>
          <w:szCs w:val="28"/>
          <w:lang w:bidi="ar-sa"/>
        </w:rPr>
        <w:t>2</w:t>
      </w:r>
      <w:r>
        <w:rPr>
          <w:rFonts w:eastAsia="Times New Roman" w:cs="Times New Roman"/>
          <w:sz w:val="28"/>
          <w:szCs w:val="28"/>
          <w:lang w:bidi="ar-sa"/>
        </w:rPr>
        <w:t>.</w:t>
      </w: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Таблица 1.2.</w:t>
      </w:r>
    </w:p>
    <w:tbl>
      <w:tblPr>
        <w:tblStyle w:val="TableGrid"/>
        <w:name w:val="Таблица5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3268"/>
        <w:gridCol w:w="3268"/>
        <w:gridCol w:w="3268"/>
      </w:tblGrid>
      <w:tr>
        <w:trPr>
          <w:tblHeader w:val="0"/>
          <w:cantSplit w:val="0"/>
          <w:trHeight w:val="0" w:hRule="auto"/>
        </w:trPr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учреждений обслуживания</w:t>
            </w:r>
          </w:p>
        </w:tc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Расчетные показатели минимально допустимого уровня обеспеченности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Общеобразовательные школы</w:t>
            </w:r>
          </w:p>
        </w:tc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место</w:t>
            </w:r>
          </w:p>
        </w:tc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95 на 100 детей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Детские дошкольные учреждения</w:t>
            </w:r>
          </w:p>
        </w:tc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место</w:t>
            </w:r>
          </w:p>
        </w:tc>
        <w:tc>
          <w:tcPr>
            <w:tcW w:w="3268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 на 100 детей</w:t>
            </w:r>
          </w:p>
        </w:tc>
      </w:tr>
    </w:tbl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Согласно нормативным показателям, приведенным в таблице №1.2 потребность в общеобразовательных и дошкольных учреждениях составляет: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детских дошкольных учреждениях - 32 места;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общеобразовательных школах – 56 мест.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Сведения о муниципальных образовательных учреждениях МО «Город Астрахань», реализующих программы начального общего, основного общего и среднего общего образования представлена в таблице 1.3.</w:t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/>
      <w:bookmarkStart w:id="6" w:name="_Hlk16165755"/>
      <w:bookmarkEnd w:id="6"/>
      <w:r/>
      <w:r>
        <w:rPr>
          <w:rFonts w:eastAsia="Times New Roman" w:cs="Times New Roman"/>
          <w:sz w:val="28"/>
          <w:szCs w:val="28"/>
          <w:lang w:bidi="ar-sa"/>
        </w:rPr>
        <w:t>Таблица 1.</w:t>
      </w:r>
      <w:r>
        <w:rPr>
          <w:rFonts w:eastAsia="Times New Roman" w:cs="Times New Roman"/>
          <w:sz w:val="28"/>
          <w:szCs w:val="28"/>
          <w:lang w:bidi="ar-sa"/>
        </w:rPr>
        <w:t>3</w:t>
      </w:r>
      <w:r>
        <w:rPr>
          <w:rFonts w:eastAsia="Times New Roman" w:cs="Times New Roman"/>
          <w:sz w:val="28"/>
          <w:szCs w:val="28"/>
          <w:lang w:bidi="ar-sa"/>
        </w:rPr>
        <w:t>.</w:t>
      </w:r>
      <w:r>
        <w:rPr>
          <w:rFonts w:eastAsia="Times New Roman" w:cs="Times New Roman"/>
          <w:sz w:val="28"/>
          <w:szCs w:val="28"/>
          <w:lang w:bidi="ar-sa"/>
        </w:rPr>
      </w:r>
    </w:p>
    <w:tbl>
      <w:tblPr>
        <w:tblStyle w:val="TableGrid"/>
        <w:name w:val="Таблица15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704"/>
        <w:gridCol w:w="3217"/>
        <w:gridCol w:w="1961"/>
        <w:gridCol w:w="1961"/>
        <w:gridCol w:w="1961"/>
      </w:tblGrid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учреждения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Адрес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Расчетная вместимость в одну смену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Фактическая наполняемость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МБОУ г.Астрахани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"СОШ № 40"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ул.Студенческая, 6 корпус 1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730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1277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МБОУ г.Астрахани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"СОШ № 12"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Валерии Барсовой, дом 8, корпус 1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712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1263</w:t>
            </w:r>
          </w:p>
        </w:tc>
      </w:tr>
    </w:tbl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Фактически, образовательные учреждения работают в двухсменном режиме, то есть, в существующих учреждениях, расположенных в шаговой доступности от границ проектируемой территории, обеспечена потребность в предоставлении расчетного количества учебных мест.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Сведения о муниципальных образовательных учреждениях МО «Город Астрахань», реализующих программы дошкольного образования представлена в таблице 1.4.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Таблица 1.4.</w:t>
      </w:r>
    </w:p>
    <w:tbl>
      <w:tblPr>
        <w:tblStyle w:val="TableGrid"/>
        <w:name w:val="Таблица7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704"/>
        <w:gridCol w:w="3217"/>
        <w:gridCol w:w="1961"/>
        <w:gridCol w:w="1961"/>
        <w:gridCol w:w="1961"/>
      </w:tblGrid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учреждения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Адрес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Расчетная вместимость в одну смену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Фактическая наполняемость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217" w:type="dxa"/>
            <w:tmTcPr id="1575270445" protected="0"/>
          </w:tcPr>
          <w:p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МБДОУ г.Астрахани №89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Курская, 76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180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МБДОУ г. Астрахани № 79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Валерии Барсовой, дом 12, корпус 3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320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356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МБДОУ г. Астрахани № 80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Красная Набережная, 229, корпус 1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320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217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МБДОУ г. Астрахани № 8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Курская, 55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360</w:t>
            </w:r>
          </w:p>
        </w:tc>
        <w:tc>
          <w:tcPr>
            <w:tcW w:w="1961" w:type="dxa"/>
            <w:tmTcPr id="1575270445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352</w:t>
            </w:r>
          </w:p>
        </w:tc>
      </w:tr>
    </w:tbl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В существующих учреждениях дошкольного образования, расположенных в шаговой доступности от границ проектируемой территории, обеспечена потребность в предоставлении расчетного количества мест.</w:t>
      </w:r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ХАРАКТЕРИСТИКА РАЗВИТИЯ СИСТЕМ ТРАНСПОРТНОГО ОБСЛУЖИВАНИЯ</w:t>
      </w:r>
    </w:p>
    <w:p>
      <w:pPr>
        <w:pStyle w:val="para13"/>
        <w:spacing w:line="360" w:lineRule="auto"/>
        <w:rPr>
          <w:sz w:val="28"/>
          <w:szCs w:val="28"/>
        </w:rPr>
      </w:pPr>
      <w:r/>
      <w:bookmarkStart w:id="7" w:name="_Hlk24035071"/>
      <w:bookmarkEnd w:id="7"/>
      <w:r/>
      <w:r>
        <w:rPr>
          <w:sz w:val="28"/>
          <w:szCs w:val="28"/>
        </w:rPr>
        <w:t>Структура  улично-дорожной  сети  на планируемой территории состоит:</w:t>
      </w:r>
      <w:r>
        <w:rPr>
          <w:sz w:val="28"/>
          <w:szCs w:val="28"/>
        </w:rPr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Магистральная улица общегородского значения регулируемого движения первого класса (ул. С.Перовской). 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Ширина в красных линиях 50,0м. Ширина дорожного полотна 22,0 м.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Магистральная улица районного значения, транспортно-пешеходная (ул. Вагнера).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Ширина в красных линиях 20,0м. Ширина дорожного полотна 8,0 м.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местного значения в районах многоэтажной застройки (ул. Кутумная)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Ширина в красных линиях 20,0 м. Ширина дорожного полотна 8,0 м.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Жилые улицы   работают в 2-х стороннем режиме.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пассажирского движения обеспечивается городским транспортом.</w:t>
      </w:r>
    </w:p>
    <w:p>
      <w:pPr>
        <w:pStyle w:val="para13"/>
        <w:ind w:firstLine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ИНЖЕНЕРНАЯ ИНФРАСТРУКТУРА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/>
      <w:bookmarkStart w:id="8" w:name="_Hlk16245239"/>
      <w:bookmarkEnd w:id="8"/>
      <w:r/>
      <w:r>
        <w:rPr>
          <w:sz w:val="28"/>
          <w:szCs w:val="28"/>
        </w:rPr>
        <w:t xml:space="preserve">Настоящий проект планировки разработан для обычных условия строительства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климатическом районе. </w:t>
      </w: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нагрузки по инженерным сетям представлены в таблице № 1.8.</w:t>
      </w:r>
    </w:p>
    <w:p>
      <w:pPr>
        <w:pStyle w:val="para13"/>
        <w:ind w:firstLine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1.8.</w:t>
      </w:r>
    </w:p>
    <w:tbl>
      <w:tblPr>
        <w:tblStyle w:val="TableGrid"/>
        <w:name w:val="Таблица11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500"/>
        <w:gridCol w:w="4338"/>
        <w:gridCol w:w="850"/>
        <w:gridCol w:w="1383"/>
        <w:gridCol w:w="1349"/>
        <w:gridCol w:w="1384"/>
      </w:tblGrid>
      <w:tr>
        <w:trPr>
          <w:tblHeader w:val="0"/>
          <w:cantSplit w:val="0"/>
          <w:trHeight w:val="0" w:hRule="auto"/>
        </w:trPr>
        <w:tc>
          <w:tcPr>
            <w:tcW w:w="500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№</w:t>
            </w:r>
          </w:p>
        </w:tc>
        <w:tc>
          <w:tcPr>
            <w:tcW w:w="4338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Название документации по планировке территории</w:t>
            </w:r>
          </w:p>
        </w:tc>
        <w:tc>
          <w:tcPr>
            <w:tcW w:w="850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rPr>
                <w:lang w:val="en-us"/>
              </w:rPr>
              <w:t xml:space="preserve">S </w:t>
            </w:r>
            <w:r>
              <w:t>дома, га</w:t>
            </w:r>
          </w:p>
        </w:tc>
        <w:tc>
          <w:tcPr>
            <w:tcW w:w="4116" w:type="dxa"/>
            <w:gridSpan w:val="3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Нагрузки:</w:t>
            </w:r>
          </w:p>
        </w:tc>
      </w:tr>
      <w:tr>
        <w:trPr>
          <w:tblHeader w:val="0"/>
          <w:cantSplit w:val="0"/>
          <w:trHeight w:val="795" w:hRule="atLeast"/>
        </w:trPr>
        <w:tc>
          <w:tcPr>
            <w:tcW w:w="500" w:type="dxa"/>
            <w:vMerge w:val="restart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1</w:t>
            </w:r>
          </w:p>
        </w:tc>
        <w:tc>
          <w:tcPr>
            <w:tcW w:w="4338" w:type="dxa"/>
            <w:vMerge w:val="restart"/>
            <w:tmTcPr id="1575270445" protected="0"/>
          </w:tcPr>
          <w:p>
            <w:pPr/>
            <w:r>
              <w:t>Документация по внесению изменений в документацию по планировке и межеванию территории в границах улиц Вагнера, Кутумной, С.Перовской в Кировском районе г.Астрахани</w:t>
            </w:r>
          </w:p>
        </w:tc>
        <w:tc>
          <w:tcPr>
            <w:tcW w:w="850" w:type="dxa"/>
            <w:vMerge w:val="restart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1,64</w:t>
            </w:r>
          </w:p>
        </w:tc>
        <w:tc>
          <w:tcPr>
            <w:tcW w:w="1383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Водо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снабжение/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Водоотве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дение*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м3/сут</w:t>
            </w:r>
          </w:p>
        </w:tc>
        <w:tc>
          <w:tcPr>
            <w:tcW w:w="134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Электро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снабжение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кВт</w:t>
            </w:r>
          </w:p>
        </w:tc>
        <w:tc>
          <w:tcPr>
            <w:tcW w:w="1384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Газо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снабжение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Нм3/час</w:t>
            </w:r>
          </w:p>
        </w:tc>
      </w:tr>
      <w:tr>
        <w:trPr>
          <w:tblHeader w:val="0"/>
          <w:cantSplit w:val="0"/>
          <w:trHeight w:val="450" w:hRule="atLeast"/>
        </w:trPr>
        <w:tc>
          <w:tcPr>
            <w:tcW w:w="500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4338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vMerge/>
            <w:tmTcPr id="1575270445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383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233,6</w:t>
            </w:r>
          </w:p>
        </w:tc>
        <w:tc>
          <w:tcPr>
            <w:tcW w:w="1349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282,9</w:t>
            </w:r>
          </w:p>
        </w:tc>
        <w:tc>
          <w:tcPr>
            <w:tcW w:w="1384" w:type="dxa"/>
            <w:tmTcPr id="1575270445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337,3</w:t>
            </w:r>
          </w:p>
        </w:tc>
      </w:tr>
    </w:tbl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* - с учетом расхода воды на полив и газовые водонагреватели.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/>
      <w:bookmarkStart w:id="9" w:name="_Hlk16245249"/>
      <w:bookmarkEnd w:id="9"/>
      <w:r/>
      <w:r>
        <w:rPr>
          <w:sz w:val="28"/>
          <w:szCs w:val="28"/>
        </w:rPr>
        <w:t xml:space="preserve">Подключение многоквартирного жилого дома рекомендуется к существующим и проектируемым инженерным сетям. </w:t>
      </w: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/>
      <w:bookmarkStart w:id="10" w:name="_Hlk16245280"/>
      <w:bookmarkEnd w:id="10"/>
      <w:r/>
      <w:r>
        <w:rPr>
          <w:b/>
          <w:bCs/>
          <w:sz w:val="28"/>
          <w:szCs w:val="28"/>
        </w:rPr>
        <w:t>ВОДОСНАБЖЕНИЕ</w:t>
      </w: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водоснабжения  в соответствии с проектом предлагается подключение к существующей сети водоснабжения со строительством новой разводки к многоквартирным домам. На дальнейших стадиях проектирования необходимо откорректировать прохождение инженерных коммуникаций на данной территории. 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ВОДООТВЕДЕНИЕ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отвода бытовых сточных вод предлагается подключение к существующей сети водоотведения со строительством новой разводки к многоквартирным домам. На дальнейших стадиях проектирования необходимо откорректировать прохождение инженерных коммуникаций на данной территории. 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ЭЛЕКТРОСНАБЖЕНИЕ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электроснабжения проектируемых многоквартирных домов запроектирован БКТП с разводкой к  домам. На дальнейших стадиях проектирования необходимо откорректировать прохождение инженерных коммуникаций на данной территории.</w:t>
      </w:r>
    </w:p>
    <w:p>
      <w:pPr>
        <w:pStyle w:val="para13"/>
        <w:ind w:firstLine="0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ТЕПЛОСНАБЖЕНИЕ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отопления и горячего водоснабжения планируемых многоквартирных жилых домов, предлагается применение индивидуальных двухконтурных колов с максимальным расходом газа на двухконтурный котел мощностью 24 кВт, работающий в режиме горячего водоснабжения, – 2,9 м3/ч.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ГАЗОСНАБЖЕНИЕ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газоснабжения проектируемых многоквартирных домов запроектирован ГРПШ с разводкой к  домам. На дальнейших стадиях проектирования необходимо откорректировать прохождение инженерных коммуникаций на данной территории. 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ПОЛОЖЕНИЯ ОБ ОЧЕРЕДНОСТИ ПЛАНИРУЕМОГО РАЗВИТИЯ ТЕРРИТОРИИ.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Проектом рекомендовано провести мероприятия по формированию и постановке на государственный кадастровый учет земельных участков под многоквартирные жилые дома.</w:t>
      </w:r>
    </w:p>
    <w:p>
      <w:pPr>
        <w:pStyle w:val="para1"/>
        <w:spacing w:line="33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Строительство домов предполагает следующие этапы: </w:t>
      </w:r>
      <w:r>
        <w:rPr>
          <w:color w:val="000000"/>
          <w:sz w:val="28"/>
          <w:szCs w:val="28"/>
        </w:rPr>
      </w:r>
    </w:p>
    <w:p>
      <w:pPr>
        <w:pStyle w:val="para1"/>
        <w:ind w:firstLine="794"/>
        <w:spacing w:line="33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 этап</w:t>
      </w:r>
      <w:r>
        <w:rPr>
          <w:color w:val="000000"/>
          <w:sz w:val="28"/>
          <w:szCs w:val="28"/>
        </w:rPr>
        <w:t xml:space="preserve"> - 10-ти этажный многоквартирный односекционный жилой дом</w:t>
      </w:r>
    </w:p>
    <w:p>
      <w:pPr>
        <w:pStyle w:val="para1"/>
        <w:ind w:firstLine="794"/>
        <w:spacing w:line="33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нежилыми помещениями на первым этаже;</w:t>
      </w:r>
    </w:p>
    <w:p>
      <w:pPr>
        <w:pStyle w:val="para1"/>
        <w:ind w:firstLine="794"/>
        <w:spacing w:line="33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 этап</w:t>
      </w:r>
      <w:r>
        <w:rPr>
          <w:color w:val="000000"/>
          <w:sz w:val="28"/>
          <w:szCs w:val="28"/>
        </w:rPr>
        <w:t xml:space="preserve"> - 10-ти этажный многоквартирный четырехсекционный жилой дом</w:t>
      </w:r>
    </w:p>
    <w:p>
      <w:pPr>
        <w:pStyle w:val="para1"/>
        <w:ind w:firstLine="794"/>
        <w:spacing w:line="33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нежилыми помещениями на первым этаже;</w:t>
      </w:r>
    </w:p>
    <w:p>
      <w:pPr>
        <w:pStyle w:val="para13"/>
        <w:ind w:firstLine="794"/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 этап</w:t>
      </w:r>
      <w:r>
        <w:rPr>
          <w:color w:val="000000"/>
          <w:sz w:val="28"/>
          <w:szCs w:val="28"/>
        </w:rPr>
        <w:t xml:space="preserve"> - 10-ти этажный многоквартирный двухсекционный жилой дом.</w:t>
      </w:r>
      <w:r>
        <w:rPr>
          <w:sz w:val="28"/>
          <w:szCs w:val="28"/>
        </w:rPr>
        <w:t xml:space="preserve"> </w:t>
      </w:r>
    </w:p>
    <w:p>
      <w:pPr>
        <w:pStyle w:val="para13"/>
        <w:ind w:firstLine="68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 утверждения проекта по планировке территории и до введения объекта капитального строительства в эксплуатацию планируется реализация проектных решений: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разработка проектной документации на строительство:</w:t>
      </w:r>
    </w:p>
    <w:p>
      <w:pPr>
        <w:pStyle w:val="para13"/>
        <w:numPr>
          <w:ilvl w:val="0"/>
          <w:numId w:val="24"/>
        </w:numPr>
        <w:ind w:left="1440" w:hanging="36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Объектов транспортной инфраструктуры;</w:t>
      </w:r>
    </w:p>
    <w:p>
      <w:pPr>
        <w:pStyle w:val="para13"/>
        <w:numPr>
          <w:ilvl w:val="0"/>
          <w:numId w:val="24"/>
        </w:numPr>
        <w:ind w:left="1440" w:hanging="36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Сетей инженерно-технического обеспечения;</w:t>
      </w:r>
    </w:p>
    <w:p>
      <w:pPr>
        <w:pStyle w:val="para13"/>
        <w:numPr>
          <w:ilvl w:val="0"/>
          <w:numId w:val="24"/>
        </w:numPr>
        <w:ind w:left="1440" w:hanging="36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Объекта капитального строительства. 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Конкретные сроки проектирования устанавливаются, исходя их проектной мощности объектов, без учета подготовки задания на проектирование, проведение конкурсов и прохождения экспертизы ПД.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Разработка проектной документации осуществляется в соответствии с требованиями ст. 48 Градостроительного кодекса Российской Федерации, со сводами правил, строительными нормами и правилами, действующими техническими регламентами.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8" w:w="11906"/>
      <w:pgMar w:left="1418" w:top="725" w:right="674" w:bottom="716"/>
      <w:paperSrc w:first="7" w:other="7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Wingdings">
    <w:panose1 w:val="05000000000000000000"/>
    <w:charset w:val="02"/>
    <w:family w:val="auto"/>
    <w:pitch w:val="default"/>
  </w:font>
  <w:font w:name="Courier New">
    <w:panose1 w:val="02070309020205020404"/>
    <w:charset w:val="cc"/>
    <w:family w:val="modern"/>
    <w:pitch w:val="default"/>
  </w:font>
  <w:font w:name="Mangal">
    <w:panose1 w:val="02040503050203030202"/>
    <w:charset w:val="00"/>
    <w:family w:val="roman"/>
    <w:pitch w:val="default"/>
  </w:font>
  <w:font w:name="Standart Poste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default"/>
  </w:font>
  <w:font w:name="Kudriashov">
    <w:panose1 w:val="020B0604020202020204"/>
    <w:charset w:val="00"/>
    <w:family w:val="auto"/>
    <w:pitch w:val="default"/>
  </w:font>
  <w:font w:name="Arial Narrow">
    <w:panose1 w:val="020B0604020202020204"/>
    <w:charset w:val="cc"/>
    <w:family w:val="swiss"/>
    <w:pitch w:val="default"/>
  </w:font>
  <w:font w:name="MS Mincho">
    <w:panose1 w:val="02020609040205080304"/>
    <w:charset w:val="80"/>
    <w:family w:val="modern"/>
    <w:pitch w:val="default"/>
  </w:font>
  <w:font w:name="Batang, 바탕">
    <w:panose1 w:val="02020603050405020304"/>
    <w:charset w:val="00"/>
    <w:family w:val="roman"/>
    <w:pitch w:val="default"/>
  </w:font>
  <w:font w:name="Arial Unicode MS">
    <w:panose1 w:val="020B0600070205080204"/>
    <w:charset w:val="80"/>
    <w:family w:val="swiss"/>
    <w:pitch w:val="default"/>
  </w:font>
  <w:font w:name="Lucida Sans Unicode">
    <w:panose1 w:val="020B0602030504020204"/>
    <w:charset w:val="cc"/>
    <w:family w:val="swiss"/>
    <w:pitch w:val="default"/>
  </w:font>
  <w:font w:name="Times New Roman CYR">
    <w:panose1 w:val="02020603050405020304"/>
    <w:charset w:val="cc"/>
    <w:family w:val="roman"/>
    <w:pitch w:val="default"/>
  </w:font>
  <w:font w:name="StarSymbol, 'Arial Unicode MS'">
    <w:panose1 w:val="05000000000000000000"/>
    <w:charset w:val="02"/>
    <w:family w:val="auto"/>
    <w:pitch w:val="default"/>
  </w:font>
  <w:font w:name="Calibri">
    <w:panose1 w:val="020F0502020204030204"/>
    <w:charset w:val="cc"/>
    <w:family w:val="swiss"/>
    <w:pitch w:val="default"/>
  </w:font>
  <w:font w:name="Calibri Light">
    <w:panose1 w:val="020F0302020204030204"/>
    <w:charset w:val="cc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/>
  </w:p>
  <w:p>
    <w:pPr>
      <w:pStyle w:val="para23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  <w:pBdr>
        <w:top w:val="single" w:sz="4" w:space="1" w:color="000000" tmln="10, 20, 20, 0, 2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bookmarkStart w:id="11" w:name="_Hlk16246315"/>
    <w:bookmarkEnd w:id="11"/>
    <w:r/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  <w:instrText xml:space="preserve"> PAGE </w:instrText>
      <w:fldChar w:fldCharType="separate"/>
      <w:t>14</w:t>
      <w:fldChar w:fldCharType="end"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    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9"/>
    </w:pPr>
    <w:r>
      <w:t>ПРОЕКТ ПЛАНИРОВКИ ТЕРРИТОРИИ. ОСНОВНАЯ (УТВЕЖДАЕМАЯ) ЧАСТЬ ПРОЕКТА                                          ПП-01</w:t>
    </w:r>
  </w:p>
  <w:p>
    <w:pPr>
      <w:pStyle w:val="para29"/>
      <w:rPr>
        <w:sz w:val="2"/>
      </w:rPr>
    </w:pPr>
    <w:r>
      <w:rPr>
        <w:sz w:val="2"/>
      </w:rPr>
      <w:tab/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9"/>
    </w:pPr>
    <w:r>
      <w:t>ПРОЕКТ ПЛАНИРОВКИ ТЕРРИТОРИИ. ОСНОВНАЯ (УТВЕЖДАЕМАЯ) ЧАСТЬ ПРОЕКТА                                          ПП-01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WW8Num2"/>
    <w:lvl w:ilvl="0">
      <w:start w:val="1"/>
      <w:numFmt w:val="decimal"/>
      <w:pStyle w:val="para98"/>
      <w:suff w:val="space"/>
      <w:lvlText w:val="%1."/>
      <w:lvlJc w:val="left"/>
      <w:pPr>
        <w:ind w:left="709" w:hanging="0"/>
      </w:pPr>
    </w:lvl>
    <w:lvl w:ilvl="1">
      <w:start w:val="1"/>
      <w:numFmt w:val="decimal"/>
      <w:suff w:val="space"/>
      <w:lvlText w:val="%1.%2."/>
      <w:lvlJc w:val="left"/>
      <w:pPr>
        <w:ind w:left="2411" w:hanging="0"/>
      </w:pPr>
    </w:lvl>
    <w:lvl w:ilvl="2">
      <w:start w:val="1"/>
      <w:numFmt w:val="decimal"/>
      <w:suff w:val="space"/>
      <w:lvlText w:val="%1.%2.%3."/>
      <w:lvlJc w:val="left"/>
      <w:pPr>
        <w:ind w:left="709" w:hanging="0"/>
      </w:pPr>
    </w:lvl>
    <w:lvl w:ilvl="3">
      <w:start w:val="1"/>
      <w:numFmt w:val="decimal"/>
      <w:suff w:val="space"/>
      <w:lvlText w:val="%1.%2.%3.%4."/>
      <w:lvlJc w:val="left"/>
      <w:pPr>
        <w:ind w:left="709" w:hanging="0"/>
      </w:pPr>
    </w:lvl>
    <w:lvl w:ilvl="4">
      <w:start w:val="1"/>
      <w:numFmt w:val="decimal"/>
      <w:suff w:val="space"/>
      <w:lvlText w:val="%1.%2.%3.%4.%5."/>
      <w:lvlJc w:val="left"/>
      <w:pPr>
        <w:ind w:left="709" w:hanging="0"/>
      </w:pPr>
    </w:lvl>
    <w:lvl w:ilvl="5">
      <w:start w:val="1"/>
      <w:numFmt w:val="decimal"/>
      <w:suff w:val="space"/>
      <w:lvlText w:val="%1.%2.%3.%4.%5.%6."/>
      <w:lvlJc w:val="left"/>
      <w:pPr>
        <w:ind w:left="709" w:hanging="0"/>
      </w:pPr>
    </w:lvl>
    <w:lvl w:ilvl="6">
      <w:start w:val="1"/>
      <w:numFmt w:val="decimal"/>
      <w:suff w:val="space"/>
      <w:lvlText w:val="%1.%2.%3.%4.%5.%6.%7."/>
      <w:lvlJc w:val="left"/>
      <w:pPr>
        <w:ind w:left="709" w:hanging="0"/>
      </w:pPr>
    </w:lvl>
    <w:lvl w:ilvl="7">
      <w:start w:val="1"/>
      <w:numFmt w:val="decimal"/>
      <w:suff w:val="space"/>
      <w:lvlText w:val="%1.%2.%3.%4.%5.%6.%7.%8."/>
      <w:lvlJc w:val="left"/>
      <w:pPr>
        <w:ind w:left="709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709" w:hanging="0"/>
      </w:pPr>
    </w:lvl>
  </w:abstractNum>
  <w:abstractNum w:abstractNumId="2">
    <w:multiLevelType w:val="hybridMultilevel"/>
    <w:name w:val="WW8Num17"/>
    <w:lvl w:ilvl="0">
      <w:numFmt w:val="bullet"/>
      <w:pStyle w:val="para121"/>
      <w:suff w:val="tab"/>
      <w:lvlText w:val=""/>
      <w:lvlJc w:val="left"/>
      <w:pPr>
        <w:ind w:left="106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3">
    <w:multiLevelType w:val="hybridMultilevel"/>
    <w:name w:val="WWOutlineListStyle"/>
    <w:lvl w:ilvl="0">
      <w:start w:val="1"/>
      <w:numFmt w:val="decimal"/>
      <w:pStyle w:val="para2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pStyle w:val="para3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pStyle w:val="para4"/>
      <w:suff w:val="tab"/>
      <w:lvlText w:val="%1.%2.%3."/>
      <w:lvlJc w:val="left"/>
      <w:pPr>
        <w:ind w:left="568" w:hanging="0"/>
      </w:pPr>
    </w:lvl>
    <w:lvl w:ilvl="3">
      <w:start w:val="1"/>
      <w:numFmt w:val="decimal"/>
      <w:pStyle w:val="para5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pStyle w:val="para6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pStyle w:val="para7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pStyle w:val="para8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pStyle w:val="para9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pStyle w:val="para10"/>
      <w:suff w:val="tab"/>
      <w:lvlText w:val="%1.%2.%3.%4.%5.%6.%7.%8.%9."/>
      <w:lvlJc w:val="left"/>
      <w:pPr>
        <w:ind w:left="568" w:hanging="0"/>
      </w:pPr>
    </w:lvl>
  </w:abstractNum>
  <w:abstractNum w:abstractNumId="4">
    <w:multiLevelType w:val="hybridMultilevel"/>
    <w:name w:val="WW8Num1"/>
    <w:lvl w:ilvl="0">
      <w:start w:val="1"/>
      <w:numFmt w:val="decimal"/>
      <w:suff w:val="space"/>
      <w:lvlText w:val="%1."/>
      <w:lvlJc w:val="left"/>
      <w:pPr>
        <w:ind w:left="568" w:hanging="0"/>
      </w:pPr>
    </w:lvl>
    <w:lvl w:ilvl="1">
      <w:start w:val="1"/>
      <w:numFmt w:val="decimal"/>
      <w:suff w:val="space"/>
      <w:lvlText w:val="%1.%2."/>
      <w:lvlJc w:val="left"/>
      <w:pPr>
        <w:ind w:left="1134" w:hanging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hanging="0"/>
      </w:pPr>
    </w:lvl>
    <w:lvl w:ilvl="3">
      <w:start w:val="1"/>
      <w:numFmt w:val="decimal"/>
      <w:suff w:val="space"/>
      <w:lvlText w:val="%1.%2.%3.%4."/>
      <w:lvlJc w:val="left"/>
      <w:pPr>
        <w:ind w:left="568" w:hanging="0"/>
      </w:pPr>
    </w:lvl>
    <w:lvl w:ilvl="4">
      <w:start w:val="1"/>
      <w:numFmt w:val="decimal"/>
      <w:suff w:val="space"/>
      <w:lvlText w:val="%1.%2.%3.%4.%5."/>
      <w:lvlJc w:val="left"/>
      <w:pPr>
        <w:ind w:left="568" w:hanging="0"/>
      </w:pPr>
    </w:lvl>
    <w:lvl w:ilvl="5">
      <w:start w:val="1"/>
      <w:numFmt w:val="decimal"/>
      <w:suff w:val="space"/>
      <w:lvlText w:val="%1.%2.%3.%4.%5.%6."/>
      <w:lvlJc w:val="left"/>
      <w:pPr>
        <w:ind w:left="568" w:hanging="0"/>
      </w:pPr>
    </w:lvl>
    <w:lvl w:ilvl="6">
      <w:start w:val="1"/>
      <w:numFmt w:val="decimal"/>
      <w:suff w:val="space"/>
      <w:lvlText w:val="%1.%2.%3.%4.%5.%6.%7."/>
      <w:lvlJc w:val="left"/>
      <w:pPr>
        <w:ind w:left="568" w:hanging="0"/>
      </w:pPr>
    </w:lvl>
    <w:lvl w:ilvl="7">
      <w:start w:val="1"/>
      <w:numFmt w:val="decimal"/>
      <w:suff w:val="space"/>
      <w:lvlText w:val="%1.%2.%3.%4.%5.%6.%7.%8."/>
      <w:lvlJc w:val="left"/>
      <w:pPr>
        <w:ind w:left="568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568" w:hanging="0"/>
      </w:pPr>
    </w:lvl>
  </w:abstractNum>
  <w:abstractNum w:abstractNumId="5">
    <w:multiLevelType w:val="hybridMultilevel"/>
    <w:name w:val="Outline"/>
    <w:lvl w:ilvl="0">
      <w:start w:val="1"/>
      <w:numFmt w:val="decimal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suff w:val="tab"/>
      <w:lvlText w:val="%1.%2.%3."/>
      <w:lvlJc w:val="left"/>
      <w:pPr>
        <w:ind w:left="568" w:hanging="0"/>
      </w:pPr>
    </w:lvl>
    <w:lvl w:ilvl="3">
      <w:start w:val="1"/>
      <w:numFmt w:val="decimal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568" w:hanging="0"/>
      </w:pPr>
    </w:lvl>
  </w:abstractNum>
  <w:abstractNum w:abstractNumId="6">
    <w:multiLevelType w:val="hybridMultilevel"/>
    <w:name w:val="WW8Num7"/>
    <w:lvl w:ilvl="0">
      <w:numFmt w:val="bullet"/>
      <w:pStyle w:val="para131"/>
      <w:suff w:val="tab"/>
      <w:lvlText w:val=""/>
      <w:lvlJc w:val="left"/>
      <w:pPr>
        <w:ind w:left="720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7">
    <w:multiLevelType w:val="hybridMultilevel"/>
    <w:name w:val="WW8Num16"/>
    <w:lvl w:ilvl="0">
      <w:start w:val="1"/>
      <w:numFmt w:val="decimal"/>
      <w:pStyle w:val="para71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8">
    <w:multiLevelType w:val="hybridMultilevel"/>
    <w:name w:val="WW8Num19"/>
    <w:lvl w:ilvl="0">
      <w:start w:val="1"/>
      <w:numFmt w:val="decimal"/>
      <w:suff w:val="tab"/>
      <w:lvlText w:val="%1."/>
      <w:lvlJc w:val="left"/>
      <w:pPr>
        <w:ind w:left="542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9">
    <w:multiLevelType w:val="hybridMultilevel"/>
    <w:name w:val="WW8Num15"/>
    <w:lvl w:ilvl="0">
      <w:numFmt w:val="bullet"/>
      <w:pStyle w:val="para15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10">
    <w:multiLevelType w:val="hybridMultilevel"/>
    <w:name w:val="WW8Num5"/>
    <w:lvl w:ilvl="0">
      <w:numFmt w:val="bullet"/>
      <w:pStyle w:val="para159"/>
      <w:suff w:val="tab"/>
      <w:lvlText w:val=""/>
      <w:lvlJc w:val="left"/>
      <w:pPr>
        <w:ind w:left="1132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1">
    <w:multiLevelType w:val="hybridMultilevel"/>
    <w:name w:val="WW8Num6"/>
    <w:lvl w:ilvl="0">
      <w:numFmt w:val="bullet"/>
      <w:pStyle w:val="para130"/>
      <w:suff w:val="tab"/>
      <w:lvlText w:val=""/>
      <w:lvlJc w:val="left"/>
      <w:pPr>
        <w:ind w:left="849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2">
    <w:multiLevelType w:val="hybridMultilevel"/>
    <w:name w:val="Нумерованный список 1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13">
    <w:multiLevelType w:val="hybridMultilevel"/>
    <w:name w:val="WW8Num12"/>
    <w:lvl w:ilvl="0">
      <w:start w:val="1"/>
      <w:numFmt w:val="decimal"/>
      <w:pStyle w:val="para53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4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709" w:hanging="0"/>
      </w:pPr>
    </w:lvl>
    <w:lvl w:ilvl="1">
      <w:start w:val="1"/>
      <w:numFmt w:val="lowerLetter"/>
      <w:suff w:val="tab"/>
      <w:lvlText w:val="%2."/>
      <w:lvlJc w:val="left"/>
      <w:pPr>
        <w:ind w:left="1429" w:hanging="0"/>
      </w:pPr>
    </w:lvl>
    <w:lvl w:ilvl="2">
      <w:start w:val="1"/>
      <w:numFmt w:val="lowerRoman"/>
      <w:suff w:val="tab"/>
      <w:lvlText w:val="%3."/>
      <w:lvlJc w:val="left"/>
      <w:pPr>
        <w:ind w:left="2329" w:hanging="0"/>
      </w:pPr>
    </w:lvl>
    <w:lvl w:ilvl="3">
      <w:start w:val="1"/>
      <w:numFmt w:val="decimal"/>
      <w:suff w:val="tab"/>
      <w:lvlText w:val="%4."/>
      <w:lvlJc w:val="left"/>
      <w:pPr>
        <w:ind w:left="2869" w:hanging="0"/>
      </w:pPr>
    </w:lvl>
    <w:lvl w:ilvl="4">
      <w:start w:val="1"/>
      <w:numFmt w:val="lowerLetter"/>
      <w:suff w:val="tab"/>
      <w:lvlText w:val="%5."/>
      <w:lvlJc w:val="left"/>
      <w:pPr>
        <w:ind w:left="3589" w:hanging="0"/>
      </w:pPr>
    </w:lvl>
    <w:lvl w:ilvl="5">
      <w:start w:val="1"/>
      <w:numFmt w:val="lowerRoman"/>
      <w:suff w:val="tab"/>
      <w:lvlText w:val="%6."/>
      <w:lvlJc w:val="left"/>
      <w:pPr>
        <w:ind w:left="4489" w:hanging="0"/>
      </w:pPr>
    </w:lvl>
    <w:lvl w:ilvl="6">
      <w:start w:val="1"/>
      <w:numFmt w:val="decimal"/>
      <w:suff w:val="tab"/>
      <w:lvlText w:val="%7."/>
      <w:lvlJc w:val="left"/>
      <w:pPr>
        <w:ind w:left="5029" w:hanging="0"/>
      </w:pPr>
    </w:lvl>
    <w:lvl w:ilvl="7">
      <w:start w:val="1"/>
      <w:numFmt w:val="lowerLetter"/>
      <w:suff w:val="tab"/>
      <w:lvlText w:val="%8."/>
      <w:lvlJc w:val="left"/>
      <w:pPr>
        <w:ind w:left="5749" w:hanging="0"/>
      </w:pPr>
    </w:lvl>
    <w:lvl w:ilvl="8">
      <w:start w:val="1"/>
      <w:numFmt w:val="lowerRoman"/>
      <w:suff w:val="tab"/>
      <w:lvlText w:val="%9."/>
      <w:lvlJc w:val="left"/>
      <w:pPr>
        <w:ind w:left="6649" w:hanging="0"/>
      </w:pPr>
    </w:lvl>
  </w:abstractNum>
  <w:abstractNum w:abstractNumId="15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16">
    <w:multiLevelType w:val="hybridMultilevel"/>
    <w:name w:val="WW8Num18"/>
    <w:lvl w:ilvl="0">
      <w:numFmt w:val="bullet"/>
      <w:pStyle w:val="para196"/>
      <w:suff w:val="tab"/>
      <w:lvlText w:val=""/>
      <w:lvlJc w:val="left"/>
      <w:pPr>
        <w:ind w:left="228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7">
    <w:multiLevelType w:val="hybridMultilevel"/>
    <w:name w:val="WW8Num9"/>
    <w:lvl w:ilvl="0">
      <w:numFmt w:val="bullet"/>
      <w:pStyle w:val="para155"/>
      <w:suff w:val="tab"/>
      <w:lvlText w:val=""/>
      <w:lvlJc w:val="left"/>
      <w:pPr>
        <w:ind w:left="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8">
    <w:multiLevelType w:val="hybridMultilevel"/>
    <w:name w:val="WW8Num11"/>
    <w:lvl w:ilvl="0">
      <w:numFmt w:val="bullet"/>
      <w:suff w:val="tab"/>
      <w:lvlText w:val=""/>
      <w:lvlJc w:val="left"/>
      <w:pPr>
        <w:ind w:left="360" w:hanging="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suff w:val="tab"/>
      <w:lvlText w:val=""/>
      <w:lvlJc w:val="left"/>
      <w:pPr>
        <w:ind w:left="720" w:hanging="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suff w:val="tab"/>
      <w:lvlText w:val="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suff w:val="tab"/>
      <w:lvlText w:val=""/>
      <w:lvlJc w:val="left"/>
      <w:pPr>
        <w:ind w:left="1440" w:hanging="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suff w:val="tab"/>
      <w:lvlText w:val=""/>
      <w:lvlJc w:val="left"/>
      <w:pPr>
        <w:ind w:left="1800" w:hanging="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suff w:val="tab"/>
      <w:lvlText w:val=""/>
      <w:lvlJc w:val="left"/>
      <w:pPr>
        <w:ind w:left="2160" w:hanging="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suff w:val="tab"/>
      <w:lvlText w:val=""/>
      <w:lvlJc w:val="left"/>
      <w:pPr>
        <w:ind w:left="2520" w:hanging="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suff w:val="tab"/>
      <w:lvlText w:val=""/>
      <w:lvlJc w:val="left"/>
      <w:pPr>
        <w:ind w:left="2880" w:hanging="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suff w:val="tab"/>
      <w:lvlText w:val=""/>
      <w:lvlJc w:val="left"/>
      <w:pPr>
        <w:ind w:left="3240" w:hanging="0"/>
      </w:pPr>
      <w:rPr>
        <w:rFonts w:ascii="Symbol" w:hAnsi="Symbol" w:cs="Symbol"/>
        <w:color w:val="000000"/>
        <w:sz w:val="28"/>
        <w:szCs w:val="28"/>
      </w:rPr>
    </w:lvl>
  </w:abstractNum>
  <w:abstractNum w:abstractNumId="19">
    <w:multiLevelType w:val="hybridMultilevel"/>
    <w:name w:val="WW8Num8"/>
    <w:lvl w:ilvl="0">
      <w:numFmt w:val="bullet"/>
      <w:pStyle w:val="para147"/>
      <w:suff w:val="tab"/>
      <w:lvlText w:val=""/>
      <w:lvlJc w:val="left"/>
      <w:pPr>
        <w:ind w:left="36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0">
    <w:multiLevelType w:val="hybridMultilevel"/>
    <w:name w:val="WW8Num4"/>
    <w:lvl w:ilvl="0">
      <w:start w:val="1"/>
      <w:numFmt w:val="decimal"/>
      <w:pStyle w:val="para54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1">
    <w:multiLevelType w:val="hybridMultilevel"/>
    <w:name w:val="WW8Num13"/>
    <w:lvl w:ilvl="0">
      <w:numFmt w:val="bullet"/>
      <w:pStyle w:val="para132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22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3">
    <w:multiLevelType w:val="hybridMultilevel"/>
    <w:name w:val="Нумерованный список 5"/>
    <w:lvl w:ilvl="0">
      <w:numFmt w:val="bullet"/>
      <w:suff w:val="tab"/>
      <w:lvlText w:val=""/>
      <w:lvlJc w:val="left"/>
      <w:pPr>
        <w:ind w:left="709" w:hanging="0"/>
      </w:pPr>
      <w:rPr>
        <w:rFonts w:ascii="Symbol" w:hAnsi="Symbol" w:eastAsia="Times New Roman" w:cs="Times New Roman"/>
      </w:rPr>
    </w:lvl>
    <w:lvl w:ilvl="1">
      <w:numFmt w:val="bullet"/>
      <w:suff w:val="tab"/>
      <w:lvlText w:val="o"/>
      <w:lvlJc w:val="left"/>
      <w:pPr>
        <w:ind w:left="1429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149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869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589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309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029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749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469" w:hanging="0"/>
      </w:pPr>
      <w:rPr>
        <w:rFonts w:ascii="Wingdings" w:hAnsi="Wingdings" w:eastAsia="Wingdings" w:cs="Wingdings"/>
      </w:rPr>
    </w:lvl>
  </w:abstractNum>
  <w:abstractNum w:abstractNumId="24">
    <w:multiLevelType w:val="hybridMultilevel"/>
    <w:name w:val="Нумерованный список 6"/>
    <w:lvl w:ilvl="0">
      <w:numFmt w:val="bullet"/>
      <w:suff w:val="tab"/>
      <w:lvlText w:val=""/>
      <w:lvlJc w:val="left"/>
      <w:pPr>
        <w:ind w:left="108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80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52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324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96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68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40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612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840" w:hanging="0"/>
      </w:pPr>
      <w:rPr>
        <w:rFonts w:ascii="Wingdings" w:hAnsi="Wingdings" w:eastAsia="Wingdings" w:cs="Wingdings"/>
      </w:rPr>
    </w:lvl>
  </w:abstractNum>
  <w:abstractNum w:abstractNumId="25">
    <w:multiLevelType w:val="hybridMultilevel"/>
    <w:name w:val="WW8Num10"/>
    <w:lvl w:ilvl="0">
      <w:numFmt w:val="bullet"/>
      <w:suff w:val="tab"/>
      <w:lvlText w:val="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6">
    <w:multiLevelType w:val="hybridMultilevel"/>
    <w:name w:val="WW8Num14"/>
    <w:lvl w:ilvl="0">
      <w:numFmt w:val="bullet"/>
      <w:pStyle w:val="para11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7">
    <w:multiLevelType w:val="hybridMultilevel"/>
    <w:name w:val="Нумерованный список 7"/>
    <w:lvl w:ilvl="0">
      <w:numFmt w:val="bullet"/>
      <w:suff w:val="tab"/>
      <w:lvlText w:val=""/>
      <w:lvlJc w:val="left"/>
      <w:pPr>
        <w:ind w:left="709" w:hanging="0"/>
      </w:pPr>
      <w:rPr>
        <w:rFonts w:ascii="Symbol" w:hAnsi="Symbol" w:eastAsia="Times New Roman" w:cs="Times New Roman"/>
      </w:rPr>
    </w:lvl>
    <w:lvl w:ilvl="1">
      <w:numFmt w:val="bullet"/>
      <w:suff w:val="tab"/>
      <w:lvlText w:val="o"/>
      <w:lvlJc w:val="left"/>
      <w:pPr>
        <w:ind w:left="1429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149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869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589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309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029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749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469" w:hanging="0"/>
      </w:pPr>
      <w:rPr>
        <w:rFonts w:ascii="Wingdings" w:hAnsi="Wingdings" w:eastAsia="Wingdings" w:cs="Wingdings"/>
      </w:rPr>
    </w:lvl>
  </w:abstractNum>
  <w:abstractNum w:abstractNumId="28">
    <w:multiLevelType w:val="hybridMultilevel"/>
    <w:name w:val="Нумерованный список 8"/>
    <w:lvl w:ilvl="0">
      <w:numFmt w:val="bullet"/>
      <w:suff w:val="tab"/>
      <w:lvlText w:val=""/>
      <w:lvlJc w:val="left"/>
      <w:pPr>
        <w:ind w:left="1069" w:hanging="0"/>
      </w:pPr>
      <w:rPr>
        <w:rFonts w:ascii="Symbol" w:hAnsi="Symbol" w:eastAsia="Times New Roman" w:cs="Times New Roman"/>
      </w:rPr>
    </w:lvl>
    <w:lvl w:ilvl="1">
      <w:numFmt w:val="bullet"/>
      <w:suff w:val="tab"/>
      <w:lvlText w:val="o"/>
      <w:lvlJc w:val="left"/>
      <w:pPr>
        <w:ind w:left="1789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509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3229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949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669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389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6109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829" w:hanging="0"/>
      </w:pPr>
      <w:rPr>
        <w:rFonts w:ascii="Wingdings" w:hAnsi="Wingdings" w:eastAsia="Wingdings" w:cs="Wingdings"/>
      </w:rPr>
    </w:lvl>
  </w:abstractNum>
  <w:abstractNum w:abstractNumId="29">
    <w:multiLevelType w:val="hybridMultilevel"/>
    <w:name w:val="WW8Num3"/>
    <w:lvl w:ilvl="0">
      <w:start w:val="1"/>
      <w:numFmt w:val="decimal"/>
      <w:pStyle w:val="para122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30">
    <w:multiLevelType w:val="hybridMultilevel"/>
    <w:name w:val="Нумерованный список 9"/>
    <w:lvl w:ilvl="0">
      <w:start w:val="1"/>
      <w:numFmt w:val="decimal"/>
      <w:suff w:val="tab"/>
      <w:lvlText w:val="%1."/>
      <w:lvlJc w:val="left"/>
      <w:pPr>
        <w:ind w:left="425" w:hanging="0"/>
      </w:pPr>
    </w:lvl>
    <w:lvl w:ilvl="1">
      <w:start w:val="1"/>
      <w:numFmt w:val="lowerLetter"/>
      <w:suff w:val="tab"/>
      <w:lvlText w:val="%2."/>
      <w:lvlJc w:val="left"/>
      <w:pPr>
        <w:ind w:left="1145" w:hanging="0"/>
      </w:pPr>
    </w:lvl>
    <w:lvl w:ilvl="2">
      <w:start w:val="1"/>
      <w:numFmt w:val="lowerRoman"/>
      <w:suff w:val="tab"/>
      <w:lvlText w:val="%3."/>
      <w:lvlJc w:val="left"/>
      <w:pPr>
        <w:ind w:left="2045" w:hanging="0"/>
      </w:pPr>
    </w:lvl>
    <w:lvl w:ilvl="3">
      <w:start w:val="1"/>
      <w:numFmt w:val="decimal"/>
      <w:suff w:val="tab"/>
      <w:lvlText w:val="%4."/>
      <w:lvlJc w:val="left"/>
      <w:pPr>
        <w:ind w:left="2585" w:hanging="0"/>
      </w:pPr>
    </w:lvl>
    <w:lvl w:ilvl="4">
      <w:start w:val="1"/>
      <w:numFmt w:val="lowerLetter"/>
      <w:suff w:val="tab"/>
      <w:lvlText w:val="%5."/>
      <w:lvlJc w:val="left"/>
      <w:pPr>
        <w:ind w:left="3305" w:hanging="0"/>
      </w:pPr>
    </w:lvl>
    <w:lvl w:ilvl="5">
      <w:start w:val="1"/>
      <w:numFmt w:val="lowerRoman"/>
      <w:suff w:val="tab"/>
      <w:lvlText w:val="%6."/>
      <w:lvlJc w:val="left"/>
      <w:pPr>
        <w:ind w:left="4205" w:hanging="0"/>
      </w:pPr>
    </w:lvl>
    <w:lvl w:ilvl="6">
      <w:start w:val="1"/>
      <w:numFmt w:val="decimal"/>
      <w:suff w:val="tab"/>
      <w:lvlText w:val="%7."/>
      <w:lvlJc w:val="left"/>
      <w:pPr>
        <w:ind w:left="4745" w:hanging="0"/>
      </w:pPr>
    </w:lvl>
    <w:lvl w:ilvl="7">
      <w:start w:val="1"/>
      <w:numFmt w:val="lowerLetter"/>
      <w:suff w:val="tab"/>
      <w:lvlText w:val="%8."/>
      <w:lvlJc w:val="left"/>
      <w:pPr>
        <w:ind w:left="5465" w:hanging="0"/>
      </w:pPr>
    </w:lvl>
    <w:lvl w:ilvl="8">
      <w:start w:val="1"/>
      <w:numFmt w:val="lowerRoman"/>
      <w:suff w:val="tab"/>
      <w:lvlText w:val="%9."/>
      <w:lvlJc w:val="left"/>
      <w:pPr>
        <w:ind w:left="6365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6145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13"/>
    <w:tmLastPosSelect w:val="0"/>
    <w:tmLastPosFrameIdx w:val="0"/>
    <w:tmLastPosCaret>
      <w:tmLastPosPgfIdx w:val="241"/>
      <w:tmLastPosIdx w:val="9"/>
    </w:tmLastPosCaret>
    <w:tmLastPosAnchor>
      <w:tmLastPosPgfIdx w:val="0"/>
      <w:tmLastPosIdx w:val="0"/>
    </w:tmLastPosAnchor>
    <w:tmLastPosTblRect w:left="0" w:top="0" w:right="0" w:bottom="0"/>
  </w:tmLastPos>
  <w:tmAppRevision w:date="1575270445" w:val="973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20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6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9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1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21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9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7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0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6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List Paragraph"/>
    <w:qFormat/>
    <w:basedOn w:val="para0"/>
    <w:pPr>
      <w:ind w:left="720"/>
      <w:contextualSpacing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52"/>
      <w:sz w:val="26"/>
    </w:rPr>
  </w:style>
  <w:style w:type="character" w:styleId="char223" w:customStyle="1">
    <w:name w:val="Знак Знак6"/>
    <w:rPr>
      <w:spacing w:val="-52"/>
      <w:sz w:val="26"/>
    </w:rPr>
  </w:style>
  <w:style w:type="character" w:styleId="char224" w:customStyle="1">
    <w:name w:val="Знак Знак5"/>
    <w:rPr>
      <w:spacing w:val="-52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52"/>
      <w:sz w:val="26"/>
    </w:rPr>
  </w:style>
  <w:style w:type="character" w:styleId="char228" w:customStyle="1">
    <w:name w:val="Знак Знак3"/>
    <w:rPr>
      <w:spacing w:val="-52"/>
      <w:sz w:val="26"/>
    </w:rPr>
  </w:style>
  <w:style w:type="character" w:styleId="char229" w:customStyle="1">
    <w:name w:val="Знак Знак2"/>
    <w:rPr>
      <w:spacing w:val="-52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53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52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Основной текст с отступом Знак1"/>
    <w:basedOn w:val="char0"/>
    <w:rPr>
      <w:szCs w:val="21"/>
    </w:rPr>
  </w:style>
  <w:style w:type="character" w:styleId="char334" w:customStyle="1">
    <w:name w:val="fontstyle01"/>
    <w:basedOn w:val="char0"/>
    <w:rPr>
      <w:rFonts w:ascii="Arial" w:hAnsi="Arial" w:cs="Arial"/>
      <w:b/>
      <w:bCs/>
      <w:i w:val="0"/>
      <w:iCs w:val="0"/>
      <w:color w:val="000000"/>
      <w:sz w:val="40"/>
      <w:szCs w:val="4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widowControl/>
    </w:pPr>
    <w:rPr>
      <w:rFonts w:ascii="Calibri" w:hAnsi="Calibri" w:eastAsia="Calibri" w:cs="Times New Roman"/>
      <w:kern w:val="1"/>
      <w:sz w:val="22"/>
      <w:szCs w:val="22"/>
      <w:lang w:bidi="ar-sa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20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6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9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1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21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9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7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0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6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List Paragraph"/>
    <w:qFormat/>
    <w:basedOn w:val="para0"/>
    <w:pPr>
      <w:ind w:left="720"/>
      <w:contextualSpacing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52"/>
      <w:sz w:val="26"/>
    </w:rPr>
  </w:style>
  <w:style w:type="character" w:styleId="char223" w:customStyle="1">
    <w:name w:val="Знак Знак6"/>
    <w:rPr>
      <w:spacing w:val="-52"/>
      <w:sz w:val="26"/>
    </w:rPr>
  </w:style>
  <w:style w:type="character" w:styleId="char224" w:customStyle="1">
    <w:name w:val="Знак Знак5"/>
    <w:rPr>
      <w:spacing w:val="-52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52"/>
      <w:sz w:val="26"/>
    </w:rPr>
  </w:style>
  <w:style w:type="character" w:styleId="char228" w:customStyle="1">
    <w:name w:val="Знак Знак3"/>
    <w:rPr>
      <w:spacing w:val="-52"/>
      <w:sz w:val="26"/>
    </w:rPr>
  </w:style>
  <w:style w:type="character" w:styleId="char229" w:customStyle="1">
    <w:name w:val="Знак Знак2"/>
    <w:rPr>
      <w:spacing w:val="-52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53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52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Основной текст с отступом Знак1"/>
    <w:basedOn w:val="char0"/>
    <w:rPr>
      <w:szCs w:val="21"/>
    </w:rPr>
  </w:style>
  <w:style w:type="character" w:styleId="char334" w:customStyle="1">
    <w:name w:val="fontstyle01"/>
    <w:basedOn w:val="char0"/>
    <w:rPr>
      <w:rFonts w:ascii="Arial" w:hAnsi="Arial" w:cs="Arial"/>
      <w:b/>
      <w:bCs/>
      <w:i w:val="0"/>
      <w:iCs w:val="0"/>
      <w:color w:val="000000"/>
      <w:sz w:val="40"/>
      <w:szCs w:val="4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widowControl/>
    </w:pPr>
    <w:rPr>
      <w:rFonts w:ascii="Calibri" w:hAnsi="Calibri" w:eastAsia="Calibri" w:cs="Times New Roman"/>
      <w:kern w:val="1"/>
      <w:sz w:val="22"/>
      <w:szCs w:val="22"/>
      <w:lang w:bidi="ar-sa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Relationship Id="rId11" Type="http://schemas.openxmlformats.org/officeDocument/2006/relationships/header" Target="header2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rev.973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/>
  <cp:revision>13</cp:revision>
  <cp:lastPrinted>2019-12-02T07:27:21Z</cp:lastPrinted>
  <dcterms:created xsi:type="dcterms:W3CDTF">2019-11-07T12:16:00Z</dcterms:created>
  <dcterms:modified xsi:type="dcterms:W3CDTF">2019-12-02T07:07:25Z</dcterms:modified>
</cp:coreProperties>
</file>